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E-6156/2013 vom 5. November 2013</w:t>
      </w:r>
    </w:p>
    <w:p>
      <w:r>
        <w:t>Bundesverwaltungsgericht, 2013-11-05, DE</w:t>
      </w:r>
    </w:p>
    <w:p>
      <w:r>
        <w:rPr>
          <w:b/>
        </w:rPr>
        <w:t xml:space="preserve">Quelle: </w:t>
      </w:r>
      <w:r>
        <w:t>https://mcp.opencaselaw.ch/entscheid/bvger_E-6156_2013</w:t>
      </w:r>
    </w:p>
    <w:p>
      <w:r>
        <w:t>FR: TAF E-6156/2013 du 5 novembre 2013</w:t>
      </w:r>
    </w:p>
    <w:p>
      <w:r>
        <w:t>IT: TAF E-6156/2013 del 5 novembre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formgenügend eingereichte Beschwerde (Art. 108 Abs. 2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hielt in ihrer Verfügung vom 16. Oktober 2013 fest, dass der Abgleich der Fingerabdrücke des Beschwerdeführers mit der Zentraleinheit Eurodac ergeben habe, dass dieser am 2. September 2013 in Ungarn um Asyl ersucht hatte. Gestützt darauf ersuchte das BFM am 3. Oktober 2013 die ungarischen Behörden um Übernahme des Beschwerdeführers im Sinne von Art. 16 Abs. 1 Bst. c der Verordnung (EG) Nr. 343/2003 des Rates vom 18. Februar 2003 zur Festlegung der Kriterien und Verfahren zur Bestimmung des Mitgliedstaats, der für die Prüfung eines von einem Drittstaatsangehörigen in einem Mitgliedstaat gestellten Asylantrages zuständig ist (Dublin-II-VO). Die ungarischen Behörden hiessen das Ersuchen am 16. Oktober 2013 gut.</w:t>
      </w:r>
    </w:p>
    <w:p>
      <w:r>
        <w:rPr>
          <w:b/>
        </w:rPr>
        <w:t>E. 3.3</w:t>
      </w:r>
    </w:p>
    <w:p>
      <w:r>
        <w:t>Der Beschwerdeführer beantragt, er sei ein zweites Mal anzuhören, da er anlässlich der ersten Anhörung nicht "alle Informationen über sein Leben" preisgegeben habe. Weiter macht er geltend, dass er in Ungarn für sechs Monate ins Gefängnis gesteckt und er alsdann nach Afghanistan zurückführt würde. Er werde in 10 bis 20 Tagen Dokumente einreichen.</w:t>
      </w:r>
    </w:p>
    <w:p>
      <w:r>
        <w:rPr>
          <w:b/>
        </w:rPr>
        <w:t>E. 4.1</w:t>
      </w:r>
    </w:p>
    <w:p>
      <w:r>
        <w:t>Nach der Rechtsprechung ist die Bestimmung von Art. 3 Abs. 2 Dublin-II-VO (Souveränitätsklausel) nur in Verbindung mit einer anderen Norm des nationalen (namentlich Art. 29 Abs. 3 der Asylverordnung 1 vom 11. August 1999 [AsylV 1, SR 142.311]) oder internationalen Rechts anwendbar (vgl. BVGE 2010/45 E. 5).</w:t>
      </w:r>
    </w:p>
    <w:p>
      <w:r>
        <w:rPr>
          <w:b/>
        </w:rPr>
        <w:t>E. 4.2</w:t>
      </w:r>
    </w:p>
    <w:p>
      <w:r>
        <w:t>Ungarn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würden. Die-se Vermutung kann durch den Nachweis des Bestehens einer realen Gefahr für eine völkerrechtswidrige Ausschaffung umgestossen werden.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4.3</w:t>
      </w:r>
    </w:p>
    <w:p>
      <w:r>
        <w:t>Der Beschwerdeführer befürchtet, bei einer Rückführung nach Ungarn inhaftiert und alsdann abgeschoben zu werden. Tatsächlich wurde in etlichen Berichten von Menschenrechtsorganisationen und staatlichen Stellen auf Defizite im ungarischen Asylsystem aufmerksam gemacht, namentlich bezüglich Zugang zum Asylverfahren, Beachtung des Nonrefoulement-Gebotes, Administrativhaft, Aufnahmebedingungen und Rückschiebung in "sichere" Drittstaaten (Serbien). Die ungarischen Behörden haben in den vergangenen Monaten auf die von verschiedener Seite geäusserte Kritik reagiert und Änderungen sowohl hinsichtlich der rechtlichen Grundlagen als auch hinsichtlich der Praxis der Asylbehörden in Aussicht gestellt. So werden beispielsweise nunmehr sämtliche Dublin-Rückkehrer als Asylsuchende angesehen und ihre Asylgründe werden geprüft, sie werden in der Regel nicht inhaftiert (ausser wenn ihr Asylgesuch bereits materiell abgewiesen wurde), und Serbien wird nicht mehr als sicherer Drittstaat bezeichnet. Diese positive Entwicklung hatn in jüngere Berichte von Menschenrechtsorganisationen Eingang gefunden, und der Europäische Gerichtshof für Menschenrechte (EGMR) stellte in einem kürzlich ergangenen Urteil gestützt auf aktuelle Berichte des Amts des Hohen Flüchtlingskommissars der Vereinten Nationen (UNHCR) Verbesserungen vor Ort fest (vgl. EGMR, Mohammed gegen Österreich [Appl. No. 2283/12], Urteil vom 6. Juni 2013). Am 1. Juli 2013 sind jedoch auch Gesetzesänderungen in Kraft getreten, welche einen breiten Katalog von Haftgründen für Asylsuchende vorsehen (vgl. Hungarian Helsinki Committee, Brief Information Note on the Main Asylum Related Legal Changes in Hungary of 1 July 2013; im Internet abrufbar), was neuerlich zur Befürchtung führt, diese Haft könnte systematisch und ohne effektiven Rechtsschutz angewendet werden.</w:t>
      </w:r>
    </w:p>
    <w:p>
      <w:r>
        <w:rPr>
          <w:b/>
        </w:rPr>
        <w:t>E. 4.4</w:t>
      </w:r>
    </w:p>
    <w:p>
      <w:r>
        <w:t>In einem kürzlich ergangenen Urteil hat sich das Bundesverwaltungsgericht eingehend mit der aktuellen Lageentwicklung für Asylsuchende in Ungarn auseinandergesetzt (vgl. Urteil des Bundesverwaltungsgerichts E-2093/2012 vom 9. Oktober 2013). Bezüglich der möglichen Haft und der Haftbedingungen (in der Vergangenheit war von mangelnder Hygiene, systematischer Verabreichung von Beruhigungsmitteln und von Gewaltübergriffen berichtet worden) wurde festgestellt, den Einwänden gegen eine allfällige Überstellung nach Ungarn werde besondere Aufmerksamkeit zukommen müssen, falls sich die Haftbedingungen nach den erfolgten Gesetzesänderungen immer noch als besorgniserregend erweisen würden (vgl. Urteil, a.a.O., E. 8.2). Das UNHCR hat (nachdem Serbien von Ungarn nun nicht mehr als "sicherer Drittstaat" bezeichnet wird) keine Empfehlung an die betroffenen Staaten abgegeben, und der EGMR geht davon aus, dass die festgestellten Mängel im ungarischen Asylverfahren nicht als systematisch zu bezeichnen sind (vgl. EGMR, Mohammed gegen Österreich [Appl. No. 2283/12], Urteil vom 6. Juni 2013, par. 105 S. 28). Dennoch ist angesichts der neuen Gesetzesbestimmungen zur Haft von Asylsuchenden und der hohen Anzahl von Asylgesuchen in Ungarn in der ersten Hälfte des laufenden Jahres, welche zu einer Verschlechterung der dortigen Lebensbedingungen geführt hat, bei der Überstellung von Asylsuchenden nach Ungarn grosse Wachsamkeit geboten, insbesondere wenn es sich um verletzliche Personen handelt. Die Vermutung, dass Ungarn die Rechte der EMRK garantiere und seine staatsvertraglichen Verpflichtungen einhalte, kann nicht vorbehaltlos aufrechterhalten werden (vgl. Urteil des Bundesverwaltungsgerichts E-2093/2012 vom 9. Oktober 2013, E. 9 ff.). Es ist eine sorgfältige Überprüfung einer allfällig bestehenden Gefahr einer unmenschlichen oder erniedrigenden Behandlung respektive einer Verletzung des Nonrefoulement-Gebotes im Sinne der EMRK und des Abkommens vom 28. Juli 1951 über die Rechtsstellung der Flüchtlinge (FK, SR 0.142.30) angezeigt, welche der Zugehörigkeit der Asylsuchenden zu einer besonders verwundbaren Gruppe Rechnung zu tragen hat.</w:t>
      </w:r>
    </w:p>
    <w:p>
      <w:r>
        <w:rPr>
          <w:b/>
        </w:rPr>
        <w:t>E. 4.5</w:t>
      </w:r>
    </w:p>
    <w:p>
      <w:r>
        <w:t>Der Beschwerdeführer legt nicht dar, noch ist ersichtlich, inwiefern ihm bei einer Rückkehr nach Ungarn eine Administrativhaft drohen könnte oder eine Überschreitung der Grenze der Rechtmässigkeit zu befürchten wäre. Er macht nicht geltend, in Ungarn kein faires Asylverfahren durchlaufen zu haben; er konnte erwiesenermassen in Ungarn ein Asylgesuch einreichen, verliess jedoch das Land vor der Fällung eines materiellen Entscheides. Es bestehen keine konkreten Hinweise darauf, dass er in Ungarn nicht Zugang zu einem rechtsstaatlichen Verfahren im Sinne des Dublin-Systems hätten. Demzufolge ist die Vermutung, wonach Ungarn seine völkerrechtlichen Verpflichtungen einhalte, mangels ausreichender Anhaltspunkte nicht widerlegt (vgl. BVGE 2010/45 E. 7.4 f.). Beim Beschwerdeführer handelt es sich um einen jungen und, soweit ersichtlich, gesunden Mann. In der Beschwerde bringt er in pauschaler Weise einzig vor, er habe "nicht alle Informationen über sein Leben" preisgegeben und wolle noch Dokumente einreichen. Er substanziiert jedoch in keiner Weise, inwiefern die Gefahr bestehen könnte, dass sein Asylgesuch nicht sorgfältig geprüft werde, oder die angefochtene Verfügung zu beanstanden sein soll, und solches ist auch nicht anzunehmen. Der Antrag auf eine zweite Anhörung ist deshalb in antizipierter Beweiswürdigung abzuweisen. Die Vorinstanz ist in Anwendung von Art. 34 Abs. 2 Bst. d AsylG auf das Asylgesuch zu Recht nicht eingetreten.</w:t>
      </w:r>
    </w:p>
    <w:p>
      <w:r>
        <w:rPr>
          <w:b/>
        </w:rPr>
        <w:t>E. 5</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(vgl. BVGE 2009/50 E. 9), ist die Anordnung der Wegweisung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Im Rahmen des Dublin-Verfahrens, bei dem es sich um ein Überstellungsverfahren in den für die Prüfung des Asylgesuches zuständigen Staat handelt, bleibt systembedingt kein Raum für Ersatzmassnahmen im Sinne von Art. 44 Abs. 2 AsylG i.V.m. Art. 83 Abs. 3 und 4 AuG (vgl. BVGE 2010/45 E. 10.2). Eine entsprechende Prüfung, soweit notwendig, findet vielmehr bereits im Rahmen des Nichteintretensentscheides statt. Die Vorinstanz hat den Vollzug der Wegweisung in diesem Sinne zu Recht als zulässig, zumutbar und möglich bezeichnet.</w:t>
      </w:r>
    </w:p>
    <w:p>
      <w:r>
        <w:rPr>
          <w:b/>
        </w:rPr>
        <w:t>E. 7</w:t>
      </w:r>
    </w:p>
    <w:p>
      <w:r>
        <w:t>Nach dem Gesagten ergibt sich, dass die angefochtene Verfügung Bundesrecht nicht verletzt und auch sonst nicht zu beanstanden ist (vgl. Art. 106 Abs. 1 AsylG). Die Beschwerde ist abzuweisen.</w:t>
      </w:r>
    </w:p>
    <w:p>
      <w:r>
        <w:rPr>
          <w:b/>
        </w:rPr>
        <w:t>E. 8</w:t>
      </w:r>
    </w:p>
    <w:p>
      <w:r>
        <w:t>Bei diesem Ausgang des Verfahrens sind die Kosten von Fr. 600.- dem Beschwerdeführer aufzuerlegen (Art. 37 VGG i.V.m. Art. 68 Abs. 2 VwVG und Art. 63 Abs. 1 VwVG ;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