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E-6146/2006 vom 14. Dezember 2009</w:t>
      </w:r>
    </w:p>
    <w:p>
      <w:r>
        <w:t>Bundesverwaltungsgericht, 2009-12-14, DE</w:t>
      </w:r>
    </w:p>
    <w:p>
      <w:r>
        <w:rPr>
          <w:b/>
        </w:rPr>
        <w:t xml:space="preserve">Quelle: </w:t>
      </w:r>
      <w:r>
        <w:t>https://mcp.opencaselaw.ch/entscheid/bvger_E-6146_2006</w:t>
      </w:r>
    </w:p>
    <w:p>
      <w:r>
        <w:t>FR: TAF E-6146/2006 du 14 décembre 2009</w:t>
      </w:r>
    </w:p>
    <w:p>
      <w:r>
        <w:t>IT: TAF E-6146/2006 del 14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(vgl. zur Glaubhaftmachung Art. 7 AsylG).</w:t>
      </w:r>
    </w:p>
    <w:p>
      <w:r>
        <w:rPr>
          <w:b/>
        </w:rPr>
        <w:t>E. 4.1</w:t>
      </w:r>
    </w:p>
    <w:p>
      <w:r>
        <w:t>Die Vorinstanz hat die Flüchtlingseigenschaft der Beschwerdeführerin im Wesentlichen mit der Begründung verneint, bei den von ihr geltend gemachten Misshandlungen und Todesdrohungen handle es sich um Übergriffe Dritter. Diese könnten allenfalls dann zur Asylgewährung führen, wenn der Staat seiner Schutzpflicht nicht nachkomme. Dem Staat müsse aber überhaupt die Möglichkeit gegeben würden, dieser Pflicht nachzukommen. Dies habe die Beschwerdeführerin nicht getan, weil sie es unterlassen habe, bei den Behörden Anzeige zu erstatten und um Schutz zu ersuchen. Die Vorinstanz hat Zweifel an der Glaubhaftigkeit der Vorbringen angedeutet, die Frage aber offen gelassen.</w:t>
      </w:r>
    </w:p>
    <w:p>
      <w:r>
        <w:rPr>
          <w:b/>
        </w:rPr>
        <w:t>E. 4.2</w:t>
      </w:r>
    </w:p>
    <w:p>
      <w:r>
        <w:t>Dem hält die Beschwerdeführerin entgegen, häusliche Gewalt gegen Frauen stelle in der Mongolei ein sehr ernsthaftes Problem dar und habe einen strukturellen Hintergrund. Gewalt gegen Frauen werde entweder als innerfamiliäres Problem wahrgenommen oder schlicht ignoriert. Zwar gebe es seit kurzem gesetzliche und institutionelle Bestrebungen, häusliche Gewalt zu verfolgen und den Betroffenen Hilfe anzubieten. Die bekannteste Organisation, das National Centre Against Violence (NCAV), sei aber personell und finanziell schwach dotiert. Es gebe zwar Frauenhäuser, doch seien diese überlastet und der Staat komme seiner ihm vom Gesetz auferlegten Pflicht zu deren Unterstützung nicht genügend nach. Insgesamt sei festzuhalten, dass die vom mongolischen Staat getroffenen Massnahmen zur Verhinderung von Übergriffen durch Dritte in Form von häuslicher Gewalt nicht wirksam oder zumindest nicht wirksam genug seien. Der für die Beschwerdeführerin erforderliche Schutz sei nicht garantiert. Im gegebenen Kontext sei es nachvollziehbar, dass die Beschwerdeführerin eine Anzeige bei der Polizei unterlassen habe. Sie habe befürchtet, von dieser nicht ernst genommen zu werden. Dies auch deshalb, weil ihr Lebenspartner finanzkräftig und ihr sehr mächtig erschienen sei. Es sei einzuräumen, dass der Problematik der häuslichen Gewalt grundsätzlich zwar nicht durch das schweizerische Asylrecht begegnet werden könne. Im Falle der Beschwerdeführerin sei der asylrechtliche Schutz aber gerechtfertigt, weil zur fehlenden Schutzfähigkeit des Staates eine besondere Schwere von sexueller Gewalt während mehrerer Jahre sowie ein fehlendes Beziehungsnetz dazukomme. Beide Elternteile sowie der Bruder seien nämlich verstorben. Weil sie auch keine weiteren Verwandten habe, sei die Beschwerdeführerin in besonderem Masse auf den vorliegend unzureichenden Schutz von Frauenhäusern und des Staates angewiesen. Die Beschwerdeführerin sei aus Furcht um ihr Leben geflohen und bedürfe des flüchtlingsrechtlichen Schutzes der Schweiz.</w:t>
      </w:r>
    </w:p>
    <w:p>
      <w:r>
        <w:rPr>
          <w:b/>
        </w:rPr>
        <w:t>E. 4.3</w:t>
      </w:r>
    </w:p>
    <w:p>
      <w:r>
        <w:t>In ihrer Vernehmlassung führt die Vorinstanz mit Verweis auf Entscheidungen und Mitteilungen der Schweizerischen Asylrekurskommission [EMARK] 2006 Nr. 18 aus, in der Mongolei sei eine im Sinne der Schutztheorie genügende Schutzinfrastruktur vorhanden. Das Gesetz zum Schutz gegen häusliche Gewalt werde von den Strafverfolgungsbehörden konsequent angewandt. Es gebe staatliche und nichtstaatliche Institutionen wie Frauenhäuser oder eine unentgeltliche Begleitung und juristische Beratung durch das NCAV. Als erwachsene, selbständige Frau mit Schulbildung und Lebenserfahrung sei es der Beschwerdeführerin zuzumuten, die staatliche und nichtstaatliche Hilfe in Anspruch zu nehmen.</w:t>
      </w:r>
    </w:p>
    <w:p>
      <w:r>
        <w:rPr>
          <w:b/>
        </w:rPr>
        <w:t>E. 4.4</w:t>
      </w:r>
    </w:p>
    <w:p>
      <w:r>
        <w:t>Die Beschwerdeführerin führt in ihrer Replik bezüglich der unterlassenen Schutzsuche bei den Behörden aus, sie sei wegen der massiven Gewalterfahrung unter grossem psychischem Druck gestanden.</w:t>
      </w:r>
    </w:p>
    <w:p>
      <w:r>
        <w:rPr>
          <w:b/>
        </w:rPr>
        <w:t>E. 5</w:t>
      </w:r>
    </w:p>
    <w:p>
      <w:r>
        <w:t>Das Bundesverwaltungsgericht kommt zum Schluss, dass die Vorinstanz die Flüchtlingseigenschaft der Beschwerdeführerin zu Recht verneint hat.</w:t>
      </w:r>
    </w:p>
    <w:p>
      <w:r>
        <w:rPr>
          <w:b/>
        </w:rPr>
        <w:t>E. 5.1</w:t>
      </w:r>
    </w:p>
    <w:p>
      <w:r>
        <w:t>Zunächst sei angemerkt, dass die Vorinstanz die Frage offen gelassen, immerhin aber gewisse Zweifel angedeutet hat, ob die Vorbringen der Beschwerdeführerin glaubhaft seien. Auch das Bundesverwaltungsgericht lässt diese Frage unbeantwortet. Für den Ausgang dieses Verfahrens ist die Glaubhaftigkeit der Vorbringen nämlich nicht entscheidend. Die von der Beschwerdeführerin geltend gemachten Übergriffe wurden von ihrem Lebenspartner begangen. Nach dem von der ARK vollzogenen Wechsel von der sogenannten Zurechenbarkeitstheorie zur Schutztheorie (vgl. EMARK 2006 Nr. 18 E. 7 und 8 S. 190 ff.) setzt eine Verfolgung im flüchtlingsrechtlichen Sinne (Art. 3 AsylG) nicht mehr voraus, dass der Staat direkt (indem er selber der Verfolger ist) oder indirekt (indem er keinen Schutz vor Verfolgung durch Dritte bieten will) Urheber der Verfolgung ist. Gemäss der Schutztheorie kann eine durch eine Privatperson verfolgte Person auch dann als Flüchtling anerkannt werden, wenn der Staat der durch Private verfolgten Person keinen Schutz bieten kann. Auch die Schutztheorie geht aber von der Prämisse aus, dass in erster Linie der Heimat- oder Wohnsitzstaat des von einer Privatperson Verfolgten zuständig ist für dessen Schutz. Der flüchtlingsrechtliche Schutz durch einen Drittstaat wie die Schweiz ist subsidiärer Natur gegenüber dem Schutz im und durch den Herkunftsstaat (vgl. Erw. 10.2 des zuvor erwähnten Urteils).</w:t>
      </w:r>
    </w:p>
    <w:p>
      <w:r>
        <w:rPr>
          <w:b/>
        </w:rPr>
        <w:t>E. 5.2</w:t>
      </w:r>
    </w:p>
    <w:p>
      <w:r>
        <w:t>Das Bundesverwaltungsgericht teilt die Position der Beschwerdeführerin nicht, der mongolische Staat sei nicht willens, Gewalt gegen Frauen zu bekämpfen, beziehungsweise die getroffenen Massnahmen seien nicht wirksam (Beschwerdeschrift, S. 4). Der Grundsatzentscheid EMARK 2006 Nr. 18 äussert sich unter anderem auch zur Frage, welcher Grad von Schutz im Heimatland als "genügend" zu qualifizieren ist: Genügend ist der Schutz nicht erst dann, wenn dem Bedrohten faktisch eine Garantie für langfristigen individuellen Schutz gegeben werden kann. Erforderlich ist aber, dass eine funktionierende und effiziente Schutzinfrastruktur zur Verfügung steht. Dabei ist in erster Linie an polizeiliche Aufgaben wahrnehmende Organe sowie an ein Rechts- und Justizsystem zu denken, das eine effektive Strafverfolgung ermöglicht. Die Inanspruchnahme des Schutzsystems muss dabei sowohl objektiv möglich als auch individuell zumutbar sein (EMARK 2006 Nr. 18 Erw. 10.3.2 S. 203). Die Mongolei figuriert auf der bundesrätlichen Liste der sogenannten "safe countries". Diese Qualifikation beruht auf einer sorgfältigen Prüfung der Verhältnisse im betreffenden Land durch Fachleute in verschiedenen Departementen der Verwaltung und setzt unter anderem voraus, dass rechtsstaatliche Strukturen inklusive Strafverfolgungs- und Gerichtsbehörden vorhanden sind und grundsätzlich funktionieren. Nach einer grundlegenden Reform wichtiger Gesetze über die Gerichtsorganisation und das Verfahrensrecht verfügt die Mongolei heute über ein differenziertes Justizwesen. Auch im materiellen Recht gab es seit Erlass der neuen Verfassung 1992 zahlreiche Reformen. Neben den einschlägigen strafrechtlichen Bestimmungen hat die Mongolei ein Gesetz gegen häusliche Gewalt erlassen. Gesetzgebung und Verfassung können aus rechtsstaatlicher Sicht als genügend bezeichnet werden, wenn man bedenkt, dass die Mongolei seit den ersten freien Wahlen 1990 und Erlass der neuen Verfassung (Einführung einer parlamentarischen Demokratie) ein in Transformation befindliches Entwicklungsland ist (vgl. Dietrich Nelle (Hrsg.), Internethandbuch zum Recht der Mongolei, insbesondere Ziffern 8 zum Strafrecht und 9 zur Gerichtsorganisation; eingesehen am 9. November 2009). Die grundlegenden Freiheiten sind nicht nur in der Verfassung garantiert, sondern werden auch in der Praxis weitgehend respektiert. Die Justiz gilt als unabhängig. Ein Problem stellt allerdings die Korruption dar, unter anderem in der Verwaltung und, in geringerem Masse, bei den Justizbehörden (www.freedomhouse.org, "Freedom in the World-Mongolia 2009", eingesehen am 9. November 2009). In der Kritik steht auch die Polizei hinsichtlich Zuverlässigkeit, Fachkompetenz und Effektivität (vgl. Nelle, a.a.O., Ziff. 14).</w:t>
      </w:r>
    </w:p>
    <w:p>
      <w:r>
        <w:rPr>
          <w:b/>
        </w:rPr>
        <w:t>E. 5.3</w:t>
      </w:r>
    </w:p>
    <w:p>
      <w:r>
        <w:t>Neben der Einreichung einer Anzeige der Polizei und der Beschreitung des Rechtsweges besteht für die von häuslicher Gewalt betroffenen Frauen auch die Möglichkeit, beim NCAV physischen Schutz, psychologische und rechtliche Unterstützung zu suchen. Diese Institution betreibt in Ulan Bator ein Frauenhaus für kurzfristigen Schutz sowie ein Haus, in dem von häuslicher Gewalt betroffene Frauen als Übergangslösung wohnen können, bis sie eine eigene Unterkunft gefunden haben, in welcher sie ohne den gewalttätigen Partner wohnen können (vgl. die Homepage des NCAV auf www. owc.org.mn sowie www.owc.org.mn/ncav/eng_index.htm). Eine der wichtigsten Aktivitäten des Frauenhauses ist die Rechtsberatung. Rechtsanwältinnen und Rechtsanwälte bereiten die Frauen auf den Umgang mit den Behörden und der Polizei vor und erklären ihnen verschiedene Lösungsmöglichkeiten für den Konflikt mit ihren jeweiligen Vor- und Nachteilen. Das NCAV betreibt auch eine 24-Stunden-Hotline sowie Unterstützungsgruppen, in denen die Frauen langfristige soziale und praktische Hilfe finden können (vgl. die Informationen des United Nations Developement Fund for Women, UNIFEM, zu Projekten in der Mongolei auf www.unifem-eseasia.org, besucht am 16. November 2009). Die Aktivitäten des NCAV sind umfassend und reichen von der Mitwirkung bei Gesetzesrevisionen über die Schulung von Polizeibeamten bis hin zu einem weitreichenden Hilfsangebot für betroffene Frauen. Der Beschwerdeführerin ist allerdings insofern zuzustimmen, als dass die Nachfrage nach einem Raum im Frauenhaus oft grösser ist als das Angebot und die Platzverhältnisse im Haus beengt sind (Beschwerdeschrift S. 3; UNIFEM, a.a.O., Ziff. 17 zu Aktivitäten der NGO in der Mongolei). Auch gewisse Schwierigkeiten in der Verwaltung, bei der Polizei und der Justiz bei der Umsetzung der an sich fortschrittlichen Rechtsordnung sollen nicht in Abrede gestellt werden.</w:t>
      </w:r>
    </w:p>
    <w:p>
      <w:r>
        <w:rPr>
          <w:b/>
        </w:rPr>
        <w:t>E. 5.4</w:t>
      </w:r>
    </w:p>
    <w:p>
      <w:r>
        <w:t>Das Bundesverwaltungsgericht kommt indessen aufgrund der vorliegenden Informationen zum Schluss, dass die in der Mongolei bestehende Schutzinfrastruktur gegen Übergriffe Dritter den in EMARK 2006 Nr. 18 umrissenen Anforderungen trotz gewisser Defizite insgesamt genügt. Somit wäre es der Beschwerdeführerin oblegen, bei den heimatlichen Behörden Schutz zu suchen vor den sexuellen Übergriffen und der Umsetzung des Tötungsplanes durch ihren Lebenspartner. Die Beschwerdeführerin kann sich nicht von dieser Obliegenheit befreien mit dem Argument, die Schutzsuche wäre von vornherein aussichtslos geworden, weil die Behörden keinen effektiven Schutz im in EMARK 2006 Nr. 18 umschriebenen Sinne bieten könnten. Auch individuelle, in der Person der Beschwerdeführerin liegende Gründe, aufgrund derer eine Schutzsuche im Heimatland nicht zumutbar erschiene, liegen nicht vor. Zwar ist nachvollziehbar, dass die Beschwerdeführerin unter grossem psychischem Druck stand. Richtig mag auch sein, dass in der Mongolei sexuelle Gewalt in der Partnerschaft stärker als in der Schweiz tabuisiert oder verharmlost wird (vgl. Replik der Beschwerdeführerin, S. 2; Beschwerdeschrift, S. 3). Diese Schwierigkeiten führen jedoch nicht dazu, dass es der Beschwerdeführerin nicht zumutbar gewesen wäre, in ihrem Heimatland Schutz zu suchen. Damit die Unzumutbarkeit der Schutzsuche bejaht werden kann, braucht es gewichtigere Gründe als den von der Beschwerdeführerin geltend gemachten psychischen Druck und die gesellschaftliche Tabuisierung häuslicher Gewalt. Auch die weiteren Erklärungen für die unterbliebene Anzeige bei der Polizei stellen keinen Unzumutbarkeitsgrund im Sinne der Rechtsprechung dar (bezüglich des sexuellen Missbrauchs: Befürchtung, ihr Partner würde die Beamten bestechen, A1/S.7 und A8/S.3; Befürchtung, die Polizei würde sie nicht ernst nehmen, A8/S. 9; bezüglich des Tötungsplanes: Es sei üblich gewesen, dass er ihr mit dem Tode gedroht habe, A8/S. 11). Die von der Beschwerdeführerin erwähnten Schwierigkeiten im Zusammenhang mit ihrer Ethnie (ihr Vater sei Chinese gewesen und sie sei deswegen in der Schule gehänselt worden, A8/S. 2 und 15) stellen Nachteile von zu geringer Intensität dar, als dass sie zur Anerkennung als Flüchtling führen könnten (vgl. WALTER STÖCKLI, Asyl, in: Uebersax/Rudin/Hugi/Yar/Geiser [Hrsg.], Ausländerrecht, 2. Aufl., Basel 2009, Rz. 11.14 f.).</w:t>
      </w:r>
    </w:p>
    <w:p>
      <w:r>
        <w:rPr>
          <w:b/>
        </w:rPr>
        <w:t>E. 5.5</w:t>
      </w:r>
    </w:p>
    <w:p>
      <w:r>
        <w:t>Zusammenfassend kann festgehalten werden, dass die Vorinstanz zu Recht die Flüchtlingseigenschaft der Beschwerdeführerin verneint und ihr Asylgesuch abgewiesen hat.</w:t>
      </w:r>
    </w:p>
    <w:p>
      <w:r>
        <w:rPr>
          <w:b/>
        </w:rPr>
        <w:t>E. 6.1</w:t>
      </w:r>
    </w:p>
    <w:p>
      <w:r>
        <w:t>Nach Ablehnung eines Asylgesuches verfügt das BFM in der Regel die Wegweisung aus der Schweiz sowie deren Vollzug (vgl. Art. 44 Abs. 1 AsylG). Die Beschwerdeführerin verfügt weder über eine ausländerrechtliche Aufenthaltsbewilligung noch über einen Anspruch auf Erteilung einer solchen. Die Wegweisung wurde demnach zu Recht angeordnet und ist zu bestätigen (Art. 44 Abs. 1 AsylG; Art. 32 Bst. a der Asylverordnung 1 vom 11. August 1999; EMARK 2001 Nr. 21).</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6.3</w:t>
      </w:r>
    </w:p>
    <w:p>
      <w:r>
        <w:t>Der Vollzug ist nicht zulässig, wenn völkerrechtliche Verpflichtungen der Schweiz einer Weiterreise der Ausländerin in den Heimat-, Herkunfts- oder in einen Drittstaat entgegenstehen (Art. 83 Abs. 3 AuG). Das flüchtlingsrechtliche Refoulementverbot verbietet es, eine Person zur Ausreise in ein Land zu zwingen,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verstösst der Vollzug der angeordneten Wegweisung nicht gegen das Refoulement-Verbot. Weiter ist zu prüfen, ob ein in den Menschenrechten begründetes Wegweisungshindernis vorliegt: Gemäss Art. 25 Abs. 3 BV, Art. 3 des Übereinkommens vom 10. Dezember 1984 gegen Folter und andere grausame, unmenschliche oder erniedrigende Behandlung oder Strafe (FoK, SR 0.105) und der Praxis zu Art. 3 EMRK darf niemand der Folter unterworfen werden. Ebensowenig darf jemand Subjekt werden einer unmenschlichen beziehungsweise erniedrigenden Strafe oder Behandlung. Dabei versagt Art. 3 EMRK nicht schon allein deshalb seinen Schutz, weil eine grausame und erniedrigende Behandlung nicht vom Staat, sondern wie vorliegend geltend gemacht von einer Privatperson ausgeht. Diesfalls ist nach der Rechtsprechung des Europäischen Gerichtshofs für Menschenrechte (EGMR) allerdings erforderlich, dass eine entsprechende und erhebliche Gefahr ("real risk", vgl. zu diesem vom EGMR verwendeten Terminus etwa Handbuch zum Asyl- und Wegweisungsverfahren, Schweizerische Flüchtlingshilfe SFH [Hrsg.], Bern/Stuttgart/Wien 2009, S. 215) tatsächlich besteht und ausgeschlossen erscheint, dass die bedrohte Person im Heimat- oder Herkunftsstaat wirksamen Schutz erhielte ("une protection appropriée", vgl. Urteil des EGMR vom 29. April 1997 i.S. H. L. R. Gegen Frankreich, Reports 1997-III S. 758 m.w.H.; EMARK 2002 Nr. 22 E. 4.d.aa S. 180 f.). Wie oben in Erwägung 5 näher ausgeführt, besteht in der Mongolei für die Opfer häuslicher Gewalt eine Schutzinfrastruktur, welche als "genügend" im Sinne von EMARK 2006 Nr. 18 bezeichnet werden kann. Der Schutz ist mithin auch wirksam beziehungsweise "appropriée" im Sinne der Rechtsprechung des EGMR zu Art. 3 EMRK. Auch ist die Inanspruchnahme dieses Schutzes der Beschwerdeführerin zumutbar. Der Vollzug der Wegweisung erweist sich also als zulässig.</w:t>
      </w:r>
    </w:p>
    <w:p>
      <w:r>
        <w:rPr>
          <w:b/>
        </w:rPr>
        <w:t>E. 6.4.1</w:t>
      </w:r>
    </w:p>
    <w:p>
      <w:r>
        <w:t>Gemäss Art. 83 Abs. 4 AuG kann der Vollzug unzumutbar sein, wenn sie im Heimat- oder Herkunftsstaat auf Grund von Situationen wie Krieg, Bürgerkrieg, allgemeiner Gewalt und medizinischer Notlage konkret gefährdet sind. Die Aufzählung im Gesetz ist beispielhaft und es können auch andere Faktoren, insbesondere eine Kombination derselben, zur Unzumutbarkeit des Vollzuges führen (vgl. etwa Stöckli, a.a.O., Rz. 11.68).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Die Vorinstanz hat die Zumutbarkeit des Vollzuges bejaht mit der Begründung, es sprächen weder allgemeine Gründe, wie die politische Situation in der Mongolei, noch die persönliche Situation der Beschwerdeführerin dagegen. Sie sei frei, sich einen neuen Arbeitsplatz und eine andere Unterkunft zu suchen. In der Vernehmlassung führt das BFM ergänzend aus, die Beschwerdeführerin verfüge über eine Schulbildung und langjährige Arbeitserfahrung. Während vierzig Jahren, bis zu ihrer Ausreise, habe sie in der Mongolei gelebt. Sie habe bewiesen, trotz eines eingeschränkten Beziehungsnetzes seit dem Tode der Mutter (Zeitangabe) auf eigenen Beinen stehen zu können. Überdies würden Organisationen wie das NCAV Hilfe für Frauen anbieten. Die Beschwerdeführerin hält dem in ihrer Replik entgegen, bei der Prüfung des Wegweisungsvollzuges lasse die Vorinstanz die von ihr erlittene sexuelle Ausbeutung ausser acht. Diese habe zu einem Bruch in ihrem Leben geführt und lasse die vermeintlichen biografischen Konstanten wie Schulbildung, Arbeitserfahrung und selbständige Lebensweise nun als fragil erscheinen.</w:t>
      </w:r>
    </w:p>
    <w:p>
      <w:r>
        <w:rPr>
          <w:b/>
        </w:rPr>
        <w:t>E. 6.4.3</w:t>
      </w:r>
    </w:p>
    <w:p>
      <w:r>
        <w:t>Es sei nicht in Abrede gestellt, dass die von der Beschwerdeführerin gegebenenfalls erlittene Gewalt mit einer grossen körperlichen und seelischen Qual einhergehen und eine Hypothek für ihr künftiges Leben sein mag. Dies bedeutet jedoch nicht, dass ihre Schulbildung, ihre Arbeitserfahrung und die vor dem Verlassen des Heimatlandes unter Beweis gestellte Fähigkeit, ohne Unterstützung von Eltern oder Verwandten ihr Leben zu führen, ihr nach einer Rückkehr in die Mongolei gänzlich ohne Nutzen sein dürften. Die Beschwerdeführerin macht sodann wirtschaftliche Schwierigkeiten geltend (A8/S.11). Diese führen praxisgemäss zumindest für sich alleine jedoch nicht zur Annahme der Unzumutbarkeit (EMARK 2003 Nr. 24 E. 5.e S. 159). Dasselbe gilt für medizinische Probleme, falls diese bzw. deren unzureichende Behandlung nicht zu einer erheblichen Verschlechterung des Gesundheitszustandes und einer lebensbedrohenden Situation führen (EMARK 2003 Nr. 24 E. 5.b S. 157 f.). Den Akten ist nicht zu entnehmen, und auch im Beschwerdeverfahren wurde nicht geltend gemacht, dass die Beschwerdeführerin schwere gesundheitliche Schwierigkeiten hätte und auf eine lebensnotwendige medizinische Behandlung angewiesen wäre. Nach dem Gesagten erweist sich der Vollzug der Wegweisung als zumutbar.</w:t>
      </w:r>
    </w:p>
    <w:p>
      <w:r>
        <w:rPr>
          <w:b/>
        </w:rPr>
        <w:t>E. 6.5</w:t>
      </w:r>
    </w:p>
    <w:p>
      <w:r>
        <w:t>Der Wegweisungsvollzug erweist sich als möglich, da technische Vollzugshindernisse nicht ersichtlich sind. Es obliegt der Beschwerdeführerin, bei der zuständigen Vertretung ihres Heimatlandes die für eine Rückkehr notwendigen Reisedokumente zu beschaffen (Art. 8 Abs. 4 AsylG).</w:t>
      </w:r>
    </w:p>
    <w:p>
      <w:r>
        <w:rPr>
          <w:b/>
        </w:rPr>
        <w:t>E. 6.6</w:t>
      </w:r>
    </w:p>
    <w:p>
      <w:r>
        <w:t>Betreffend des Vollzuges kann zusammenfassend festgehalten werden, dass diesem keinerlei Wegweisungshindernisse im Wege stehen und demzufolge keine Gründe vorliegen für die von der Beschwerdeführerin eventualiter beantragte vorläufige Aufnahme.</w:t>
      </w:r>
    </w:p>
    <w:p>
      <w:r>
        <w:rPr>
          <w:b/>
        </w:rPr>
        <w:t>E. 7</w:t>
      </w:r>
    </w:p>
    <w:p>
      <w:r>
        <w:t>Aus den vorstehenden Erwägungen ergibt sich, dass die angefochtene Verfügung in Übereinstimmung mit dem Bundesrecht und angemessen ist. Der rechtserhebliche Sachverhalt wurde richtig und vollständig festgestellt (Art. 106 Abs. 1 AsylG). Folglich ist die Beschwerde abzuweisen.</w:t>
      </w:r>
    </w:p>
    <w:p>
      <w:r>
        <w:rPr>
          <w:b/>
        </w:rPr>
        <w:t>E. 8.1</w:t>
      </w:r>
    </w:p>
    <w:p>
      <w:r>
        <w:t>Mit Zwischenverfügung vom 18. Dezember 2006 wurde das Gesuch um Gewährung der unentgeltlichen Rechtspflege im Sinne von Art. 65 Abs. 1 VwVG gutgeheissen und die Beschwerdeführerin ist nach wie vor bedürftig. Somit ist auf die Auferlegung von Verfahrenskosten zu verzichten.</w:t>
      </w:r>
    </w:p>
    <w:p>
      <w:r>
        <w:rPr>
          <w:b/>
        </w:rPr>
        <w:t>E. 8.2</w:t>
      </w:r>
    </w:p>
    <w:p>
      <w:r>
        <w:t>Da die Beschwerdeführerin unterlegen ist, wird ihr keine Parteientschädigung ausgerichtet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