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E-6141/2018 vom 3. November 2018</w:t>
      </w:r>
    </w:p>
    <w:p>
      <w:r>
        <w:t>Bundesverwaltungsgericht, 2018-11-03, DE</w:t>
      </w:r>
    </w:p>
    <w:p>
      <w:r>
        <w:rPr>
          <w:b/>
        </w:rPr>
        <w:t xml:space="preserve">Quelle: </w:t>
      </w:r>
      <w:r>
        <w:t>https://mcp.opencaselaw.ch/entscheid/bvger_E-6141_2018</w:t>
      </w:r>
    </w:p>
    <w:p>
      <w:r>
        <w:t>FR: TAF E-6141/2018 du 3 novembre 2018</w:t>
      </w:r>
    </w:p>
    <w:p>
      <w:r>
        <w:t>IT: TAF E-6141/2018 del 3 novembre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5.1</w:t>
      </w:r>
    </w:p>
    <w:p>
      <w:r>
        <w:t>Die Vorinstanz gelangte in der angefochtenen Verfügung zum Schluss, die Vorbringen des Beschwerdeführers würden den Anforderungen an das Glaubhaftmachen gemäss Art. 7 AsylG nicht standhalten.</w:t>
      </w:r>
    </w:p>
    <w:p>
      <w:r>
        <w:rPr>
          <w:b/>
        </w:rPr>
        <w:t>E. 5.2</w:t>
      </w:r>
    </w:p>
    <w:p>
      <w:r>
        <w:t>Zunächst hält das SEM fest, aufgrund des Fehlens von Ausweispapieren stehe die Identität des Beschwerdeführers nicht fest. Hinzu komme, dass er unter anderem bezüglich seines Alters und seines Herkunftsortes widersprüchliche Angaben gemacht habe. Das Vorbringen, er hätte mit einer älteren Frau verheiratet werden sollen, sei unplausibel, insbesondere da der Onkel auf die älteren und ledigen Geschwister keinen solchen Druck ausgeübt habe. Es ergebe weiter wenig Sinn, dass er verhaftet worden sei, bloss weil der Onkel ihn gegenüber den Behörden als rebellisch bezeichnet habe. Da es danach zu keinen weiteren behördlichen Massnahmen gekommen sei, fehle jedes behördliche Motiv für den Gefängnisaufenthalt. Sodann widerspreche sich der Beschwerdeführer bezüglich der Existenz seiner Stiefgeschwister und dem Zeitpunkt seiner Haft, was die Zweifel an seinen Vorbringen weiter untermauere. Auch seien seine Schilderungen, insbesondere diejenigen zu den Situationen mit dem Onkel, den Hintergründen der Heirat, zur Inhaftierung und dem Gefängnisaufenthalt schematisch, knapp sowie ohne Realkennzeichen ausgefallen.</w:t>
      </w:r>
    </w:p>
    <w:p>
      <w:r>
        <w:rPr>
          <w:b/>
        </w:rPr>
        <w:t>E. 6.1</w:t>
      </w:r>
    </w:p>
    <w:p>
      <w:r>
        <w:t>In der Rechtsmitteleingabe rügt der Beschwerdeführer sinngemäss, die Vorinstanz habe zu Unrecht auf Unglaubhaftigkeit seiner Vorbringen geschlossen und damit Bundesrecht verletzt.</w:t>
      </w:r>
    </w:p>
    <w:p>
      <w:r>
        <w:rPr>
          <w:b/>
        </w:rPr>
        <w:t>E. 6.2</w:t>
      </w:r>
    </w:p>
    <w:p>
      <w:r>
        <w:t>Der Beschwerdeführer bringt vorab vor, anlässlich der BzP sei es zu Verständigungsproblemen gekommen. Dazu ist festzuhalten, dass ihm das Protokoll in seine Muttersprache übersetzt wurde und er dessen Inhalt am Ende der Befragung unterschriftlich als wahrheitsgetreu und seinen Ausführungen entsprechend bestätigte. Weiter kann dem Einwand nicht klar entnommen werden, auf welche Stellen des Protokolls sich der Beschwerdeführer konkret bezieht, weshalb darauf nicht weiter einzugehen ist. Der Beschwerdeführer hat sich demnach bei seinen Aussagen behaften zu lassen.</w:t>
      </w:r>
    </w:p>
    <w:p>
      <w:r>
        <w:rPr>
          <w:b/>
        </w:rPr>
        <w:t>E. 6.3</w:t>
      </w:r>
    </w:p>
    <w:p>
      <w:r>
        <w:t>Die vorinstanzlichen Erwägungen sind sodann nicht zu beanstanden. Die Vorinstanz hat in der angefochtenen Verfügung eingehend dargelegt, aus welchen Gründen die Ausführungen des Beschwerdeführers - unter anderem unter Verweis auf seine widersprüchlichen Angaben zu seinen Stiefgeschwistern, dem Zeitpunkt seines angeblichen Gefängnisaufenthalts sowie dem Motiv der Zwangsverheiratung - realitätsfremd, widersprüchlich, unplausibel und damit insgesamt nicht glaubhaft sind. Mit der Vorinstanz ist nochmals festzustellen, dass sich der Beschwerdeführer entgegen seiner Ansicht unvereinbar zu seinem Gefängnisaufenthalt äusserte. Anlässlich der BzP gab er an, er habe sich von (...) 2015 im Gefängnis aufgehalten (vgl. SEM-Akten A6/12 N 7.02), demgegenüber führte er bei der Anhörung aus, er habe sich bis (...) 2015 in Haft befunden (vgl. SEM-Akten A30/22 F157-F160), was sich auch durch die Vorbringen in der Rechtsmitteleingabe nicht erklären lässt. Sodann legt er mit dem sinngemässen Festhalten am Wahrheitsgehalt seiner Vorbringen und dem blossen Hinweis, seine Geschichte sei originell und individuell, nicht substantiiert dar, inwiefern die Vorinstanz zu Unrecht zum Schluss gelangt sei, seine Ausführungen würden den Anforderungen an das Glaubhaftmachen im Sinne von Art. 7 AsylG nicht standhalten. Um Wiederholungen zu vermeiden kann auf die Erwägungen in der angefochtenen Verfügung verwiesen werden. Im Ergebnis ist deshalb festzustellen, dass die Vorinstanz das Asylgesuch zu Recht abgelehnt hat.</w:t>
      </w:r>
    </w:p>
    <w:p>
      <w:r>
        <w:rPr>
          <w:b/>
        </w:rPr>
        <w:t>E. 7</w:t>
      </w:r>
    </w:p>
    <w:p>
      <w:r>
        <w:t>Lehnt das SEM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Es handelt sich um das flüchtlingsrechtliche Non-Refoulement Prinzip.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Die genannte Bestimmung steht einer Rückkehr nach Somalia demnach nicht entgegen. Weder aus den Aussagen des Beschwerdeführers noch aus den Akten ergeben sich im Weiteren Anhaltspunkte dafür, dass er für den Fall einer Ausschaffung nach Somalia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Somalia lässt den Wegweisungsvollzug zum heutigen Zeitpunkt nicht als unzulässig erscheinen. Nach dem Gesagten ist der Vollzug der Wegweisung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Das Bundesverwaltungsgericht geht in seiner Praxis davon aus, dass der Vollzug von Wegweisungen in den zentralen und südlichen Teil von Somalia grundsätzlich unzumutbar ist, ein solcher in die nördlichen Landesteile (Somaliland und Puntland) jedoch unter Umständen erfolgen kann (vgl. Urteil des BVGer D-4321/2018 vom 6. September 2018 unter Hinweis auf BVGE 2014/27 E. 6.5; wobei sich die Rechtsprechung in BVGE 2014/27 nur bedingt auf die vorliegende Sachverhaltskonstellation übertragen lässt, zumal es sich vorliegend nicht um die Zumutbarkeit einer innerstaatlichen Fluchtalternative handelt, sondern um die Zumutbarkeit einer Rückkehr in die ursprüngliche Herkunftsregion).</w:t>
      </w:r>
    </w:p>
    <w:p>
      <w:r>
        <w:rPr>
          <w:b/>
        </w:rPr>
        <w:t>E. 8.3.2</w:t>
      </w:r>
    </w:p>
    <w:p>
      <w:r>
        <w:t>Der Beschwerdeführer ist volljährig und lebte bis zu seiner Ausreise in B._______, Somaliland, wo auch seine Mutter sowie seine zwei Geschwister leben. Es dürfte mithin ein ausreichendes soziales Netz (auch im Clan-Bereich) bestehen (vgl. SEM-Akten A6/12 N 1.08 sowie 3.01). Aufgrund seiner Angaben ist von einer gewissen finanziellen Tragfähigkeit der Familie auszugehen (vgl. SEM-Akten A30/22 F52-F54, F92). Auch wenn der Beschwerdeführer in seinem Heimatland keine einfachen Bedingungen vorfinden wird, kann dennoch angenommen werden, dass ihm aufgrund der vorhandenen Strukturen und seines jungen Alters sowie mit den ihm zumutbaren Bemühungen die soziale und wirtschaftliche Integration gelingen wird. Der Vollzug der Wegweisung ist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(Art. 65 Abs. 1 VwVG) und die Einsetzung einer amtlichen Verbeiständung (Art. 110a Abs. 1 AsylG). Aus den vorstehenden Erwägungen ergibt sich, dass seine Begehren als aussichtslos zu gelten haben. Damit ist eine der kumulativ zu erfüllenden Voraussetzungen nicht gegeben, weshalb die Gesuche ungeachtet der behaupteten Bedürftigkeit abzuweisen sind</w:t>
      </w:r>
    </w:p>
    <w:p>
      <w:r>
        <w:rPr>
          <w:b/>
        </w:rPr>
        <w:t>E. 10.2</w:t>
      </w:r>
    </w:p>
    <w:p>
      <w:r>
        <w:t>Bei diesem Ausgang des Verfahrens hat der Beschwerdeführer die Kosten des vorliegenden Verfahrens zu tragen (Art. 63 Abs. 1 VwVG), die auf Fr. 750.- festzusetzen sind (Art. 1-3 des Reglements vom 21. Februar 2008 über die Kosten und Entschädigungen vor dem Bundesverwaltungs-gericht [VGKE, SR 173.320.2]). Der Antrag, auf die Erhebung eines Kostenvorschusses zu verzichten,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