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E-6140/2015 vom 25. April 2016</w:t>
      </w:r>
    </w:p>
    <w:p>
      <w:r>
        <w:t>Bundesverwaltungsgericht, 2016-04-25, FR</w:t>
      </w:r>
    </w:p>
    <w:p>
      <w:r>
        <w:rPr>
          <w:b/>
        </w:rPr>
        <w:t xml:space="preserve">Quelle: </w:t>
      </w:r>
      <w:r>
        <w:t>https://mcp.opencaselaw.ch/entscheid/bvger_E-6140_2015</w:t>
      </w:r>
    </w:p>
    <w:p>
      <w:r>
        <w:t>FR: TAF E-6140/2015 du 25 avril 2016</w:t>
      </w:r>
    </w:p>
    <w:p>
      <w:r>
        <w:t>IT: TAF E-6140/2015 del 25 aprile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crédibilité de ses motifs.</w:t>
      </w:r>
    </w:p>
    <w:p>
      <w:r>
        <w:rPr>
          <w:b/>
        </w:rPr>
        <w:t>E. 3.2</w:t>
      </w:r>
    </w:p>
    <w:p>
      <w:r>
        <w:t>Plusieurs des contradictions relevées par le SEM sont certes de peu de portée. Toutefois, le Tribunal n'est pas convaincu que l'intéressé ait réellement été recherché par les autorités sri lankaises. S'il avait vraiment été dénoncé en 2009 par son compagnon D._______, alors interpellé, il n'est pas logique que ces autorités n'aient entamé leurs recherches qu'en 2011, l'interrogeant alors sans même l'arrêter. Il fait certes valoir, dans on acte de recours, qu'il aurait vécu caché de 2009 à 2011 ; il n'en avait toutefois rien dit auparavant, affirmant au contraire, lors de son audition au CEP, avoir toujours vécu depuis son enfance à la même adresse, et ce jusqu'à son départ. L'intéressé s'est d'ailleurs contredit sur cet épisode, affirmant au CEP qu'il avait été questionné sur son ami, avant de déclarer, lors de la seconde audition, qu'on l'avait interrogé au sujet d'un inconnu ; la nouvelle version qu'il articule dans le recours, tentant de concilier les deux précédentes, n'est donc pas convaincante. Le recourant n'explique pas de façon plus satisfaisante comment il a pu produire un certificat médical constatant les sévices alors infligés par la police, alors qu'il a spécifié (cf. audition du 27 août 2015, question 72) qu'il n'en avait jamais obtenu. Dans tous les cas, il est patent que ces faits, très antérieurs au départ, ne sont pas à l'origine de celui-ci. De la même manière, si le recourant avait été l'objet des soupçons de la police, il n'est pas convaincant qu'il ait été laissé en paix durant les trois années suivantes (2011-2014), avant de faire l'objet d'une nouvelle tentative d'arrestation, pour des raisons peu claires. La vraisemblance de cet épisode est d'ailleurs sujette à caution. En effet, si les policiers avaient entendu interpeller l'intéressé, ils ne se seraient pas contentés de se renseigner à son sujet, puis de ne revenir que le lendemain, au risque qu'il prenne la fuite entretemps. Les circonstances de cette fuite, accomplie avec une extrême facilité, alors que les policiers se seraient trouvés dans la proximité immédiate du recourant, ne sont d'ailleurs pas davantage crédibles. C'est également de manière erronée que le recourant rattache le CID à l'armée, alors qu'il s'agit d'un organe de police purement civil, ce qui ne peut que jeter plus de doute sur la vraisemblance de son récit. Enfin, si l'intéressé met les imprécisions de ses déclarations sur le compte d'une traduction imparfaite de ses propos et d'une ambiance hostile lors de l'audition (pt. 2.7 du recours), il demeure qu'il a confirmé, par sa signature, que cette audition s'était bien déroulée, et que la représentante de l'oeuvre d'entraide n'a formulé aucune remarque.</w:t>
      </w:r>
    </w:p>
    <w:p>
      <w:r>
        <w:rPr>
          <w:b/>
        </w:rPr>
        <w:t>E. 3.3</w:t>
      </w:r>
    </w:p>
    <w:p>
      <w:r>
        <w:t>S'agissant de la prétendue disparition du beau-frère de l'intéressé, postérieure d'un an à son propre départ, aucun élément ne permet d'admettre, avec un degré de probabilité suffisant, qu'elle découlerait des recherches visant le recourant ; on saisit d'ailleurs mal quel but poursuivrait la police en agissant de la sorte. A cela s'ajoute que cette disparition aurait eu lieu alors que la victime se trouvait en mer, ce qui paraît malaisément compatible avec une arrestation ou un enlèvement. La plainte adressée par l'épouse du recourant ne saurait apporter sur ce point aucune lumière.</w:t>
      </w:r>
    </w:p>
    <w:p>
      <w:r>
        <w:rPr>
          <w:b/>
        </w:rPr>
        <w:t>E. 3.4</w:t>
      </w:r>
    </w:p>
    <w:p>
      <w:r>
        <w:t>Enfin, en tant que Tamoul revenant de l'étranger, le recourant sera très probablement soumis à un contrôle approfondi et à un interrogatoire à son retour. Toutefois, dans son cas personnel, eu égard aux pratiques des autorités sri lankaises en la matière (cf. OSAR, Sri Lanka : dangers liés au renvoi des personnes d'origine tamoule, 16 juin 2015), le danger d'une arrestation est limité : En effet, en raison du manque de vraisemblance de ses dires, comme du fait qu'il est toujours en possession de sa carte d'identité prétendument saisie par le passeur, il n'est pas attesté que le recourant ait quitté le Sri Lanka illégalement. De plus, comme déjà relevé, ses rapports avec les LTTE sont peu crédibles, dans tous les cas très anciens, et il n'a jamais entretenu d'engagement politique sérieux, que ce soit au Sri Lanka ou en Suisse. Certes, le fait qu'il ait déposé une demande d'asile à l'étranger et voyage en possession d'un laissez-passer peut justifier des vérifications plus poussées à son arrivée, et le maintien d'une surveillance après son retour dans la région de Trincomalee. Cependant, il n'y a aucune raison pour qu'il figure sur une liste de personnes à arrêter ou à surveiller de plus près. A cela s'ajoute que les cicatrices qu'il présente, et qu'il dit remonter aux sévices subis en 2011, ne sont pas telles qu'elles augmentent, dans le cas d'espèce, le risque pour l'intéressé de subir, en cas de retour, un traitement de nature à faire admettre sa qualité de réfugié. Il y a enfin lieu de relever que le nombre de personnes interpellées à l'aéroport de Colombo, après leur retour au pays, reste très faible, à savoir moins d'une dizaine par mois (cf. OSAR, op. cit., p. 17-18).</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que l'intéressé n'a pas rendu vraisemblable la haute probabilité d'un traitement de cette nature, et qu'il n'a pas le profil d'une personne pouvant intéresser les autorités sri lankaises. Par ailleurs, il n'existe pas un risque généralisé de traitements contraires à la CEDH pour les Tamouls renvoyés au Sri Lanka (cf. arrêt de la Cour européenne des droits de l'homme [CourEDH], R.J. contre France du 19 septembre 2013, 10466/11, ch. 37 et 39 ; cf. aussi ATAF 2011/24 consid. 10.4).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notamment arrêt du Tribunal E-1707/2015 du 15 mai 2015, consid. 5.3).</w:t>
      </w:r>
    </w:p>
    <w:p>
      <w:r>
        <w:rPr>
          <w:b/>
        </w:rPr>
        <w:t>E. 7.3</w:t>
      </w:r>
    </w:p>
    <w:p>
      <w:r>
        <w:t>En outre, il ne ressort du dossier aucun élément dont on pourrait inférer que l'exécution du renvoi impliquerait une mise en danger concrète du recourant. Il provient de la région de Trincomalee (province de l'Est) où, contrairement à la région du Vanni, l'exécution des requérants déboutés est raisonnablement exigible, si les circonstances individuelles propres au requérant le permettent. En l'occurrence, il est jeune, au bénéfice d'une expérience professionnelle dans la pêche et n'a pas allégué de problème de santé particulier. Au demeurant, n'étant parti que depuis un an et demi, il dispose d'un réseau familial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L'assistance judiciaire totale a été accordée, en application de l'art. 110a LAsi ; il n'est donc pas perçu de frais. En cas de représentation d'office,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(art. 8 al. 2 FITAF). En l'espèce, au vu du dossier (art. 14 al. 2 FITAF), le mandataire d'office n'étant intervenu qu'au stade de l'échange d'écritures, dite indemnité est arrêtée à 150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