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E-613/2019 vom 15. Februar 2019</w:t>
      </w:r>
    </w:p>
    <w:p>
      <w:r>
        <w:t>Bundesverwaltungsgericht, 2019-02-15, DE</w:t>
      </w:r>
    </w:p>
    <w:p>
      <w:r>
        <w:rPr>
          <w:b/>
        </w:rPr>
        <w:t xml:space="preserve">Quelle: </w:t>
      </w:r>
      <w:r>
        <w:t>https://mcp.opencaselaw.ch/entscheid/bvger_E-613_2019</w:t>
      </w:r>
    </w:p>
    <w:p>
      <w:r>
        <w:t>FR: TAF E-613/2019 du 15 février 2019</w:t>
      </w:r>
    </w:p>
    <w:p>
      <w:r>
        <w:t>IT: TAF E-613/2019 del 15 febbraio 2019</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ist einzutreten (Art. 112b Abs. 3 AsylG i.V.m. Art. 38 TestV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2017 VI/5 E. 3.1, 2012/4 E. 2.2).</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In seiner Rechtsmitteleingabe macht der Beschwerdeführer im Wesentlichen geltend, die Situation in Italien habe sich seit der Machtübernahme der neuen Regierung und des damit zusammenhängenden Salvini-Dekrets grundlegend geändert. So fehle es namentlich in den grösseren Kollektiv- und Notaufnahmezentren nach wie vor an ausreichender medizinischer sowie psychologischer Versorgung, die Aufnahmebedingungen würden oft nicht den Mindestanforderungen entsprechen, die Administrativhaft verstiesse gegen europäische Bestimmungen und der humanitäre Schutzstatus werde nicht mehr erteilt. Die Vorinstanz habe ihre Untersuchungs- und Begründungspflicht verletzt, indem sie insbesondere die Situation des Beschwerdeführers in Italien ungenügend abgeklärt habe. Zwar habe er tatsächlich ein italienisches Visum erhalten, dieses sei jedoch abgelaufen, weshalb er seit Monaten über kein Aufenthaltsrecht mehr verfüge. Auch hätte sich die Vorinstanz aufgrund des neuen Salvini-Dekrets ausführlicher zur Frage der systemischen Mängel äussern müssen. Schliesslich ergebe sich aufgrund der Rechtsprechung europäischer Nachbarländer, dass zurzeit wesentliche Gründe für die Annahme bestünden, das Asylverfahren und die Aufnahmebedingungen für Asylsuchende in Italien weise Schwachstellen auf, die eine Gefahr einer unmenschlichen oder entwürdigenden Behandlung mit sich brächten.</w:t>
      </w:r>
    </w:p>
    <w:p>
      <w:r>
        <w:rPr>
          <w:b/>
        </w:rPr>
        <w:t>E. 5.1</w:t>
      </w:r>
    </w:p>
    <w:p>
      <w:r>
        <w:t>Die Schlussfolgerung der Vorinstanz ist weder in tatsächlicher noch in rechtlicher Hinsicht zu beanstanden. Die angefochtene Verfügung ist ausreichend begründet, zumal sich die Vorinstanz nicht mit jedem Argument auseinanderzusetzen hat. Dass eine sachgerechte Anfechtung möglich war, zeigt die Beschwerde selbst. Der Sachverhalt ist ausreichend abgeklärt. Eine Gehörsverletzung ist nicht ersichtlich. Die entsprechenden Rügen sind unbegründet. Der Subeventualantrag ist abzuweisen. Die Rechtsmitteleingabe erschöpft sich in allgemeinen Ausführungen und pauschaler Kritik, womit es ihr nicht gelingt aufzuzeigen, inwiefern die vorinstanzliche Beweiswürdigung Bundesrecht verletzen oder zu einer rechtsfehlerhaften Sachverhaltsfeststellung führen soll. Solches ist auch nicht ersichtlich. Die Vorinstanz hat anhand des CS-VIS zu Recht die Zuständigkeit Italiens erkannt und die italienischen Behörden - gestützt auf Art. 12 Abs. 2 Dublin-III-VO - um Übernahme ersucht. Dass Italien nicht ausdrücklich Stellung genommen hat, bleibt ohne Bedeutung. Bereits mit Fristablauf wird die Zustimmung fingiert. Italien ist somit verpflichtet, die Person aufzunehmen und angemessene Vorkehrungen für die Ankunft zu treffen. Dass das Visum abgelaufen ist, spielt hierbei keine Rolle. Wie zu zeigen sein wird, sind die Beschwerdeausführungen nicht geeignet, eine Verletzung der Zuständigkeitsbestimmungen darzutun.</w:t>
      </w:r>
    </w:p>
    <w:p>
      <w:r>
        <w:rPr>
          <w:b/>
        </w:rPr>
        <w:t>E. 5.2</w:t>
      </w:r>
    </w:p>
    <w:p>
      <w:r>
        <w:t>Im Lichte von Art. 3 Abs. 2 Dublin-III-VO ist zu prüfen, ob es - wie auf Beschwerdeebene geltend gemacht -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der FoK und der FK sowie des Zusatzprotokolls der FK vom 31. Januar 1967 (SR 0.142.301) und kommt seinen diesbezüglichen völkerrechtlichen Verpflichtungen weiterhin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insb. das nach wie vor Gültigkeit beanspruchende Urteil E-6883/2016 vom 28. November 2016 E. 6.1 m.w.H.) werden indes gerade Dublin-Rückkehrende und verletzliche Personen bezüglich Unterbringung von den italienischen Behörden bevorzugt behandelt. Auch nehmen sich private Hilfsorganisationen der Betreuung von Asylsuchenden und Flüchtlingen an. Im Urteil des EGMR vom 4. November 2014 in Sachen "Tarakhel" gegen die Schweiz (Beschwerde Nr. 29217/12) stellte der Gerichtshof hinsichtlich der Lebensbedingungen in den zur Verfügung stehenden Unterkünften fest, die Situation in Italien könne in keiner Weise mit der Situation in Griechenland verglichen werden. Aufgrund der Strukturen und der allgemeinen Lebensbedingungen in den Unterkünften seien allein deshalb nicht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D-6358/2015 vom 7. April 2016 E. 5.2). Für andere Vulnerabilitätsgruppen hat der EGMR bislang solche Zusicherungen der italienischen Behörden nicht explizit gefordert und hierfür sieht das Bundesverwaltungsgericht auch aktuell keine Veranlassung. Die Einschätzung der Schweizerischen Flüchtlingshilfe oder Urteile von Gerichten einzelner europäischer Staaten sind nicht geeignet, an der konstanten Rechtsprechung etwas zu ändern. Nach dem Gesagten ist die Anwendung von Art. 3 Abs. 2 Dublin-III-VO vorliegend in Stützung der betreffenden vorinstanzlichen Erkenntnisse nicht gerechtfertigt.</w:t>
      </w:r>
    </w:p>
    <w:p>
      <w:r>
        <w:rPr>
          <w:b/>
        </w:rPr>
        <w:t>E. 5.3</w:t>
      </w:r>
    </w:p>
    <w:p>
      <w:r>
        <w:t>Was die vorgebrachten gesundheitlichen Probleme anbelangt,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Die Ab- beziehungsweise Rückschiebungsschranke wurde somit vom EMGR in einer Praxispräzisierung insoweit leicht erhöht, als nicht mehr die Todesnähe unmittelbar und unausweichlich sein muss, sondern bereits die ernste, rasche und unwiederbringliche Verschlechterung des Gesundheitszustands in Verbindung mit intensivem Leiden oder sich erheblich verkürzender Lebenserwartung genügt. Der Beschwerdeführer erfüllt auch diese leicht reduzierten Anforderungen nicht. Im Übrigen verfügt Italien über eine ausreichende medizinische Infrastruktur. Die Dublin-Mitgliedstaaten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liegen keine konkreten Hinweise vor, wonach Italien dem Beschwerdeführer eine adäquate medizinische Behandlung verweigern würde. Sollte ihm Italien bestimmte Leistungen verwehren, könnte er diese bei den italienischen Behörden auf dem Rechtsweg einfordern (vgl. Art. 26 Aufnahmerichtlinie). Unerheblich ist dabei, ob der Beschwerdeführer in der Schweiz im Vergleich zu Italien einen besseren medizinischen und psychiatrischen Behandlungsstandard vorfinden würde. Relevant ist einzig, ob eine Überstellung nach Italien unter dem Aspekt von Art. 3 EMRK ein "real risk" zumindest in der Gravität des erwähnten Paposhvili-Entscheides des EGMR darstellen würde, was indes beim Beschwerdeführer nicht der Fall ist. Seine gesundheitlichen Probleme sind nicht geeignet, an der festgestellten Zuständigkeit Italiens etwas zu ändern.</w:t>
      </w:r>
    </w:p>
    <w:p>
      <w:r>
        <w:rPr>
          <w:b/>
        </w:rPr>
        <w:t>E. 5.4</w:t>
      </w:r>
    </w:p>
    <w:p>
      <w:r>
        <w:t>Betreffend den humanitären Selbsteintritt gemäss Art. 17 Dublin-III-VO i.V.m. Art. 29a Abs. 3 AsylV 1 ist festzuhalten, dass das Bundesverwaltungsgericht in BVGE 2015/9 zum Schluss kam, dem Gericht komme im Rahmen der genannten Bestimmungen keine Beurteilungskompetenz in Bezug auf den Ermessensentscheid der Vorinstanz zu. Das Gericht greife nur dann ein, wenn das SEM das ihm eingeräumte Ermessen über- beziehungsweise unterschreite oder missbrauche und damit Bundesrecht verletze. Dies ist vorliegend nicht der Fall. Der Eventualantrag ist abzuweisen.</w:t>
      </w:r>
    </w:p>
    <w:p>
      <w:r>
        <w:rPr>
          <w:b/>
        </w:rPr>
        <w:t>E. 5.5</w:t>
      </w:r>
    </w:p>
    <w:p>
      <w:r>
        <w:t>Somit bleibt Italien der für die Behandlung des Asylgesuchs des Beschwerdeführers zuständige Mitgliedstaat gemäss Dublin-III-VO.</w:t>
      </w:r>
    </w:p>
    <w:p>
      <w:r>
        <w:rPr>
          <w:b/>
        </w:rPr>
        <w:t>E. 6</w:t>
      </w:r>
    </w:p>
    <w:p>
      <w:r>
        <w:t>Aus diesen Erwägungen ergibt sich, dass die angefochtene Verfügung Bundesrecht nicht verletzt und auch sonst nicht zu beanstanden ist (Art. 106 AsylG und Art. 49 VwVG). Die Beschwerde ist abzuweisen. Die Anträge betreffend aufschiebende Wirkung sowie Anweisung der Vollzugsbehörden sind mit vorliegendem Urteil gegenstandslos geworden.</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