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E-6137/2024 vom 29. August 2024</w:t>
      </w:r>
    </w:p>
    <w:p>
      <w:r>
        <w:t>Bundesverwaltungsgericht, 2024-08-29, DE</w:t>
      </w:r>
    </w:p>
    <w:p>
      <w:r>
        <w:rPr>
          <w:b/>
        </w:rPr>
        <w:t xml:space="preserve">Quelle: </w:t>
      </w:r>
      <w:r>
        <w:t>https://mcp.opencaselaw.ch/entscheid/bvger_E-6137_2024_d20240829</w:t>
      </w:r>
    </w:p>
    <w:p>
      <w:r>
        <w:t>FR: TAF E-6137/2024 du 29 août 2024</w:t>
      </w:r>
    </w:p>
    <w:p>
      <w:r>
        <w:t>IT: TAF E-6137/2024 del 29 agosto 2024</w:t>
      </w:r>
    </w:p>
    <w:p>
      <w:pPr>
        <w:pStyle w:val="Heading2"/>
      </w:pPr>
      <w:r>
        <w:t>Regeste</w:t>
      </w:r>
    </w:p>
    <w:p>
      <w:r>
        <w:t>Asyl und Wegweisung (Mehrfachgesuch/Wiedererw&amp;auml;gung) | Asyl und Wegweisung (Mehrfachgesuch/Wiedererwägung); Verfügung des SEM vom 29. August 2024</w:t>
      </w:r>
    </w:p>
    <w:p>
      <w:pPr>
        <w:pStyle w:val="Heading2"/>
      </w:pPr>
      <w:r>
        <w:t>Erwägungen</w:t>
      </w:r>
    </w:p>
    <w:p>
      <w:r>
        <w:rPr>
          <w:b/>
        </w:rPr>
        <w:t>E. 1.1</w:t>
      </w:r>
    </w:p>
    <w:p>
      <w:r>
        <w:t>Gemäss Art. 31 VGG beurteilt das Bundesverwaltungsgericht Be- schwerden gegen Verfügungen nach Art. 5 VwVG und entscheidet auf dem Gebiet des Asyls in der Regel – wie auch vorliegend – endgültig (Art. 105 AsylG; Art. 83 Bst. d Ziff. 1 BGG).</w:t>
      </w:r>
    </w:p>
    <w:p>
      <w:r>
        <w:rPr>
          <w:b/>
        </w:rPr>
        <w:t>E. 1.2</w:t>
      </w:r>
    </w:p>
    <w:p>
      <w:r>
        <w:t>Die Beschwerde ist frist- und formgerecht eingereicht worden. Die Beschwerdeführenden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6 AsylG; Art. 48 Abs. 1 sowie Art. 52 Abs. 1 VwVG). Auf die Beschwerde ist einzutreten.</w:t>
      </w:r>
    </w:p>
    <w:p>
      <w:r>
        <w:rPr>
          <w:b/>
        </w:rPr>
        <w:t>E. 2</w:t>
      </w:r>
    </w:p>
    <w:p>
      <w:r>
        <w:t>Aufgrund der engen sachlichen und persönlichen Nähe wird das vorlie- gende Beschwerdeverfahren insofern mit demjenigen des Sohnes C._______ (E-6254/2024) koordiniert, als derselbe Spruchkörper einge- setzt worden ist und das Urteil mit gleichem Datum ergeht.</w:t>
      </w:r>
    </w:p>
    <w:p>
      <w:r>
        <w:t>E-6137/2024 Seite 6</w:t>
      </w:r>
    </w:p>
    <w:p>
      <w:r>
        <w:rPr>
          <w:b/>
        </w:rPr>
        <w:t>E. 3</w:t>
      </w:r>
    </w:p>
    <w:p>
      <w:r>
        <w:t>Der Verfahrensgegenstand ist entsprechend den Begehren auf die Ziffern 1 bis 5 des Dispositivs der angefochtenen Verfügung beschränkt. Die Er- hebung einer Gebühr (Ziffer 6 der des Dispositivs der angefochtenen Ver- fügung) wurde nicht angefochten und zum Nichteintretenspunkt (Disposi- tivziffer 2, 2. Teilsatz der angefochtenen Verfügung) wurde auf Beschwer- destufe nichts ausgeführt, weshalb auch dieser Teil des Dispositivs als nicht angefochten gilt. Beides ist folglich in Rechtskraft getreten und nicht Gegenstand des vorliegenden Verfahrens.</w:t>
      </w:r>
    </w:p>
    <w:p>
      <w:r>
        <w:rPr>
          <w:b/>
        </w:rPr>
        <w:t>E. 4</w:t>
      </w:r>
    </w:p>
    <w:p>
      <w:r>
        <w:t>Die Kognition des Bundesverwaltungsgerichts und die zulässigen Rügen richten sich im Asylbereich nach Art. 106 Abs. 1 AsylG, im Bereich des Aus- länderrechts nach Art. 49 VwVG (vgl. BVGE 2014/26 E. 5).</w:t>
      </w:r>
    </w:p>
    <w:p>
      <w:r>
        <w:rPr>
          <w:b/>
        </w:rPr>
        <w:t>E. 5</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6</w:t>
      </w:r>
    </w:p>
    <w:p>
      <w:r>
        <w:t>Der in der Rechtsmitteleingabe gestellte Rückweisungsantrag ist unbe- gründet. Es ist festzuhalten, dass die Vorinstanz entgegen der pauschalen Behauptung der Beschwerdeführenden den Sachverhalt vollständig und richtig festgestellt hat. Sie hat insbesondere auch die mit dem Mehrfach- gesuch eingereichten Beweismittel hinreichend zur Kenntnis genommen und in die Würdigung ihrer angefochtenen Verfügung einbezogen. Inwie- fern sie weitere Verfahrensschritte im neuen Strafverfahren abzuwarten hätte, um hinreichend beurteilen zu können, ob nicht doch ein Politmalus vorliege, ist nicht ersichtlich. Auch sonst ergeben sich aus den Akten keine Rückweisungsgründe, weshalb der Antrag abzuweisen ist.</w:t>
      </w:r>
    </w:p>
    <w:p>
      <w:r>
        <w:rPr>
          <w:b/>
        </w:rPr>
        <w:t>E. 7.1</w:t>
      </w:r>
    </w:p>
    <w:p>
      <w:r>
        <w:t>Im Rahmen eines Mehrfachgesuchs gemäss Art. 111c AsylG sind Sa- chumstände materiell zu beurteilen, die nach Abschluss des vorangegan- genen Verfahrens neu entstanden sind (vgl. BVGE 2014/39 E. 4.6). Die</w:t>
      </w:r>
    </w:p>
    <w:p>
      <w:r>
        <w:t>E-6137/2024 Seite 7 asylsuchende Person macht dabei geltend, es liege ein nachträglich ver- änderter Sachverhalt vor, der flüchtlingsrechtlich respektive asylrechtlich relevant sei.</w:t>
      </w:r>
    </w:p>
    <w:p>
      <w:r>
        <w:rPr>
          <w:b/>
        </w:rPr>
        <w:t>E. 7.2</w:t>
      </w:r>
    </w:p>
    <w:p>
      <w:r>
        <w:t>Flüchtlingen wird kein Asyl gewährt, wenn sie erst durch ihre Ausreise aus dem Heimat- oder Herkunftsstaat oder wegen ihres Verhaltens nach der Ausreise Flüchtlinge im Sinne von Art. 3 AsylG wurden (Art. 54 AsylG, subjektive Nachfluchtgründe). Flüchtlinge sind Personen, die in ihrem Hei- matstaat oder im Land, in dem sie zuletzt wohnten, wegen ihrer Rasse, Religion, Nationalität, Zugehörigkeit zu einer bestimmten sozialen Gruppe oder wegen ihrer politischen Anschauungen ernsthaften Nachteilen ausge- setzt sind oder begründete Furcht haben, solchen Nachteilen ausgesetzt zu werden (Art. 3 Abs. 1 AsylG). Als ernsthafte Nachteile gelten namentlich die Gefährdung des Leibes, des Lebens oder der Freiheit sowie Massnah- men, die einen unerträglichen psychischen Druck bewirken; den frauenspezifischen Fluchtgründen ist Rechnung zu tragen (Art. 3 Abs. 2 AsylG).</w:t>
      </w:r>
    </w:p>
    <w:p>
      <w:r>
        <w:rPr>
          <w:b/>
        </w:rPr>
        <w:t>E. 7.3</w:t>
      </w:r>
    </w:p>
    <w:p>
      <w:r>
        <w:t>Subjektive Nachfluchtgründe sind dann anzunehmen, wenn eine asyl- suchende Person erst durch die Flucht aus dem Heimat- oder Herkunfts- staat oder wegen ihres Verhaltens nach der Ausreise eine Verfolgung im Sinne von Art. 3 AsylG zu befürchten hat. Bei subjektiven Nachfluchtgrün- den handelt es sich um Tatsachen, welche von den betreffenden Personen selbst geschaffen wurden. Wesentlich ist, ob die heimatlichen Behörden das Verhalten des Asylsuchenden als staatsfeindlich einstufen und dieser deswegen bei einer Rückkehr eine Verfolgung befürchten muss. Personen mit subjektiven Nachfluchtgründen erhalten zwar kein Asyl, werden jedoch als Flüchtlinge vorläufig aufgenommen (Art. 54 AsylG; vgl. BVGE 2009/28 E. 7.1; Urteil des BVGer D-890/2025 vom 28. Februar 2025 E. 7.2; Ent- scheidungen und Mitteilungen der Schweizerischen Asylrekurskommission [EMARK] 2000 Nr. 16 E. 5a m.w.H.).</w:t>
      </w:r>
    </w:p>
    <w:p>
      <w:r>
        <w:rPr>
          <w:b/>
        </w:rPr>
        <w:t>E. 8.1</w:t>
      </w:r>
    </w:p>
    <w:p>
      <w:r>
        <w:t>Zur Begründung der angefochtenen Verfügung hält die Vorinstanz im Wesentlichen fest, dass die im erstinstanzlichen Verfahren eingereichten Beweismittel zu einem möglichen Ermittlungs- und Untersuchungsverfah- ren mangels Beweiswerts nicht geeignet seien, die Flüchtlingseigenschaft zu begründen. Das Schreiben der türkischen Anwältin der Beschwerdefüh- renden sei ein Gefälligkeitsschreiben, welches über keinerlei Sicherheits- merkmale verfüge. Der Verfahrensregisterauszug der türkischen Staatsan- waltschaft sei eine Fotokopie und weise ebenfalls keine</w:t>
      </w:r>
    </w:p>
    <w:p>
      <w:r>
        <w:t>E-6137/2024 Seite 8 Sicherheitsmerkmale auf sowie sei mittels Microsoft Office leicht erstell- und fälschbar. Zudem könne der Geheimhaltungsbeschluss mangels Iden- tifizierbarkeit nicht dem Beschwerdeführer zugeordnet werden. Unabhän- gig davon seien die mit den Beweismitteln geltend gemachten Vorbringen flüchtlingsrechtlich nicht relevant. Die Verfahren seien mangels Anklage- schrift in einem frühen Ermittlungs- beziehungsweise Untersuchungssta- dium und ein Gerichtsurteil sei nicht absehbar. Auch drohe dem Beschwer- deführer keine Untersuchungshaft und eine allfällige kurze Festnahme durch die Polizei bei einer Rückkehr erfülle nicht die Anforderungen an die flüchtlingsrechtlich geforderte Intensität der Verfolgung sowie stelle kein ernsthafter Nachteil im Sinne des Asylgesetzes dar. Schliesslich gebe es auch keine Hinweise oder Belege für eine Reflexverfolgung für die Be- schwerdeführerin und den Sohn (N […]). Damit liege bei ihnen ebenfalls keine objektiv begründete Furcht vor ernsthaften Nachteilen vor.</w:t>
      </w:r>
    </w:p>
    <w:p>
      <w:r>
        <w:rPr>
          <w:b/>
        </w:rPr>
        <w:t>E. 8.2</w:t>
      </w:r>
    </w:p>
    <w:p>
      <w:r>
        <w:t>Die Beschwerdeführenden wenden im Wesentlichen ein, dass auf- grund der neuen Beweismittel ein flüchtlingsrechtlich relevantes Verfol- gungsinteresse des türkischen Staates vorliege. Es sei gegen den Be- schwerdeführer nachweislich erneut ein politisch motiviertes Strafverfah- ren eröffnet worden. Seine subjektive Furcht, bei einer Rückkehr ernsthaf- ten Nachteilen ausgesetzt zu sein, sei nun als objektiv begründet zu erach- ten. Als Wiederholungstäter sei das Verschulden sehr hoch und die Ver- kündung eines Urteils könne daher nicht ausgesetzt werden. Auch sei eine Strafaussetzung zur Bewährung nicht möglich. Die objektive Begründetheit seiner Furcht vor einem asylrelevanten Politmalus im eingeleiteten Ermitt- lungsverfahren werde durch die erlittene Vorverfolgung, die geltend ge- machte Reflexverfolgung im Zusammenhang mit seiner Schwester sowie den Vergleich mit einem ähnlich gelagerten Fall zusätzlich bekräftigt. Schliesslich sei seine Ehefrau (die Beschwerdeführerin) in seine Flücht- lingseigenschaft einzubeziehen.</w:t>
      </w:r>
    </w:p>
    <w:p>
      <w:r>
        <w:rPr>
          <w:b/>
        </w:rPr>
        <w:t>E. 9.1</w:t>
      </w:r>
    </w:p>
    <w:p>
      <w:r>
        <w:t>Das Bundesverwaltungsgericht gelangt nach Durchsicht der Akten zum Schluss, dass die Vorinstanz die Flüchtlingseigenschaft der Beschwerde- führenden zu Recht verneint und ihr Mehrfachgesuch abgelehnt hat. Es hat ausführlich und mit zutreffender Begründung dargelegt, weshalb die im Mehrfachgesuch vorgebrachten Umstände sowie Beweismittel die Anfor- derungen an die Flüchtlingseigenschaft nicht erfüllen. Darauf und auf die Begründung der Aussichtslosigkeit in der Zwischenverfügung vom 17. Ok- tober 2024 kann mit den nachfolgenden Ergänzungen verwiesen werden:</w:t>
      </w:r>
    </w:p>
    <w:p>
      <w:r>
        <w:t>E-6137/2024 Seite 9</w:t>
      </w:r>
    </w:p>
    <w:p>
      <w:r>
        <w:rPr>
          <w:b/>
        </w:rPr>
        <w:t>E. 9.2</w:t>
      </w:r>
    </w:p>
    <w:p>
      <w:r>
        <w:t>Zunächst wirft die Vorinstanz berechtigterweise die Frage auf, ob die im erstinstanzlichen Verfahren eingereichten Dokumente authentisch sind (vgl. das Referenzurteil des BVGer E-4103/2024 vom 8. November 2024 E. 8.7.5). Im Zusammenhang mit allfälligen Strafverfahren ist festzuhalten, dass solche in der Türkei oft in teils hoher Zahl eingeleitet, aber häufig auch wieder eingestellt werden, weshalb selbst bei Annahme, es sei ein Straf- verfahren gegen den Beschwerdeführer eingeleitet oder eine Anklage er- hoben worden, nicht ohne Weiteres von einer späteren Verurteilung und insgesamt auch nicht von einer aktuellen Asylrelevanz auszugehen ist (vgl. auch Urteil des BVGer E-6490/2023 E. 7.3 vom 9. Januar 2024). Die auf Beschwerdestufe eingereichten Beweismittel und die zu deren Beweiswert getätigten Ausführungen führen zu keiner anderen Einschätzung. Insbe- sondere vermögen die Beschwerdeführenden aus dem Einwand, das ein- gereichte Anwaltsschreiben müsse bei der Beurteilung der geltend ge- machten eingeleiteten Strafverfahren berücksichtigt werden, nichts zu ih- ren Gunsten abzuleiten, weil die Möglichkeit, dass es sich dabei um ein Gefälligkeitsschreiben handelt, erfahrungsgemäss jedenfalls nicht gering erscheint, weshalb diesem nur ein niedriger Beweiswert zukommt. In die- sem Zusammenhang ist – in Übereinstimmung mit der Vorinstanz – festzu- halten, dass es – selbst wenn Ermittlungsverfahren gegen ihn eingeleitet worden wären – insbesondere an der notwendigen hohen Wahrscheinlich- keit fehlt, dass der Beschwerdeführer deswegen bei einer Rückkehr in den Heimatsstaat in naher Zukunft aus einem flüchtlingsrechtlich relevanten Motiv ernsthafte Nachteile im Sinne von Art. 3 Abs. 2 AsylG zu befürchten hat (vgl. das Referenzurteil des BVGer E-4103/2024 vom 8. November 2024 E. 8.6 und 8.7).</w:t>
      </w:r>
    </w:p>
    <w:p>
      <w:r>
        <w:rPr>
          <w:b/>
        </w:rPr>
        <w:t>E. 9.3</w:t>
      </w:r>
    </w:p>
    <w:p>
      <w:r>
        <w:t>Sodann ist festzustellen, dass der Beschwerdeführer – wie bereits im nur ein Monat vor Einreichung der Mehrfachgesuche ergangenen Urteil E-3841/2024, E-3836/2024 vom 5. Juli 2024 festgestellt – über kein ent- scheidendes politisches Profil verfügt. So wurde im genannten Urteil ins- besondere festgestellt, dass die Beschwerdeführenden problemlos legal aus der Türkei ausgereist sind, weshalb im Ausreisezeitpunkt von keinem Verfolgungsinteresse auszugehen war. Weiter hat der Beschwerdeführer gemäss eigenen Angaben nur die friedlichen Aktivitäten der HDP und nicht die PKK und deren Waffengewalt unterstützt. Auch die Beschwerdeführerin konnte aufgrund ihrer pauschalen Vorbringen keine spezielle politische Po- sition darlegen (ebd. E. 7.3). Der hierzu auf Beschwerdestufe geltend ge- machte Einwand, es werde neu gegen den Beschwerdeführer wegen Mit- gliedschaft in einer bewaffneten Terrororganisation (PKK) ermittelt und ihm drohe aufgrund einer bereits erfolgten Verurteilung wegen des gleichen</w:t>
      </w:r>
    </w:p>
    <w:p>
      <w:r>
        <w:t>E-6137/2024 Seite 10 Delikts im Jahr (…) eine Gefängnisstrafe von siebeneinhalb bis 15 Jahren, stellt mangels konkreter aktenkundiger Hinweise eine blosse Mutmassung dar. Zur Stützung seiner Behauptung, dass sowohl das frühere wie nun auch wieder das neue Verfahren ihm aus politischen Motiven unterschoben worden seien, sind keine Hinweise ersichtlich. Insbesondere gibt es keine Anhaltspunkte dafür, dass es sich bei der damaligen Strafverfolgung we- gen des (…) nicht um ein legitimes Verfahren gehandelt hätte. Die geltend gemachte subjektive Furcht setzt auch im heutigen Zeitpunkt die Anforde- rungen an eine objektiv begründete Furcht nicht in einer relevanten Weise herab. Auch führt der Vergleich zu anderen Fällen, in denen Strafverfahren in den Anfangsstadien seien, zu keinem anderen Schluss.</w:t>
      </w:r>
    </w:p>
    <w:p>
      <w:r>
        <w:rPr>
          <w:b/>
        </w:rPr>
        <w:t>E. 9.4</w:t>
      </w:r>
    </w:p>
    <w:p>
      <w:r>
        <w:t>Nach dem Gesagten hat die Vorinstanz die Flüchtlingseigenschaft der Beschwerdeführenden zu Recht verneint und das Mehrfachgesuch eben- falls zu Recht abgelehnt, soweit es darauf eintrat. Demzufolge erweist sich der Antrag, die Beschwerdeführerin sei in die Flüchtlingseigenschaft des Beschwerdeführers einzubeziehen, als gegenstandslos.</w:t>
      </w:r>
    </w:p>
    <w:p>
      <w:r>
        <w:rPr>
          <w:b/>
        </w:rPr>
        <w:t>E. 10.1</w:t>
      </w:r>
    </w:p>
    <w:p>
      <w:r>
        <w:t>Lehnt das SEM das Mehrfachgesuch ab oder tritt es darauf nicht ein, so verfügt es in der Regel die Wegweisung aus der Schweiz und ordnet den Vollzug an; es berücksichtigt dabei den Grundsatz der Einheit der Fa- milie (Art. 44 AsylG).</w:t>
      </w:r>
    </w:p>
    <w:p>
      <w:r>
        <w:rPr>
          <w:b/>
        </w:rPr>
        <w:t>E. 10.2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11.1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 vollzugshindernissen gilt gemäss Praxis des Bundesverwaltungsgerichts der gleiche Beweisstandard wie bei der Prüfung der Flüchtlingseigen- schaft; das heisst, sie sind zu beweisen, wenn der strikte Beweis möglich ist, und andernfalls wenigstens glaubhaft zu machen (vgl. BVGE 2011/24 E. 10.2 m.w.H.).</w:t>
      </w:r>
    </w:p>
    <w:p>
      <w:r>
        <w:t>E-6137/2024 Seite 11</w:t>
      </w:r>
    </w:p>
    <w:p>
      <w:r>
        <w:rPr>
          <w:b/>
        </w:rPr>
        <w:t>E. 11.2</w:t>
      </w:r>
    </w:p>
    <w:p>
      <w:r>
        <w:t>Die Einschätzung des SEM, wonach sich der Vollzug der Wegweisung im Sinne von Art. 83 Abs. 3 AIG als zulässig erweise, da das flüchtlings- rechtliche Rückschiebeverbot im Sinne von Art. 5 AsylG, Art. 25 Abs. 2 BV und Art. 33 Abs. 1 des Abkommens vom 28. Juli 1951 über die Rechtsstel- lung der Flüchtlinge (FK, SR 0.142.30) keine Anwendung finde und die Be- schwerdeführenden für den Fall einer Ausschaffung in den Heimatstaat dort auch nicht mit beachtlicher Wahrscheinlichkeit einer nach Art. 3 EMRK oder Art. 1 FoK verbotenen Strafe oder Behandlung ausgesetzt wären, ist zu bestätigen. Der Wegweisungsvollzug erweist sich auch als zumutbar, da für den Fall der Rückkehr in den Heimatstaat nicht von einer konkreten Gefährdung der Beschwerdeführenden im Sinne von Art. 83 Abs. 4 AIG auszugehen ist. Schliesslich obliegt es den Beschwerdeführenden, sich bei der zuständi- gen Vertretung des Heimatstaates die für eine Rückkehr notwendigen Rei- sedokumente zu beschaffen, weshalb der Vollzug der Wegweisung auch als möglich zu bezeichnen ist (Art. 83 Abs. 2 AIG). Ergänzend kann auf die zutreffenden Erwägungen in der angefochtenen Verfügung verwiesen wer- den (ebd. V, Ziff. 1 bis 3), welchen in der Beschwerde nichts entgegenge- halten wird.</w:t>
      </w:r>
    </w:p>
    <w:p>
      <w:r>
        <w:rPr>
          <w:b/>
        </w:rPr>
        <w:t>E. 12</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13</w:t>
      </w:r>
    </w:p>
    <w:p>
      <w:r>
        <w:t>Bei diesem Ausgang des Verfahrens sind die Kosten den Beschwerde- führenden aufzuerlegen (Art. 63 Abs. 1 VwVG) und auf insgesamt Fr. 2'000.– festzusetzen (Art. 1–3 des Reglements vom 21. Februar 2008 über die Kosten und Entschädigungen vor dem Bundesverwaltungsgericht [VGKE, SR 173.320.2]). Sie sind durch den am 31. Oktober 2024 von den Beschwerdeführenden in gleicher Höhe geleisteten Kostenvorschuss ge- deckt. (Dispositiv nächste Seite)</w:t>
      </w:r>
    </w:p>
    <w:p>
      <w:r>
        <w:t>E-6137/2024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