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E-6132/2010 vom 12. April 2012</w:t>
      </w:r>
    </w:p>
    <w:p>
      <w:r>
        <w:t>Bundesverwaltungsgericht, 2012-04-12, DE</w:t>
      </w:r>
    </w:p>
    <w:p>
      <w:r>
        <w:rPr>
          <w:b/>
        </w:rPr>
        <w:t xml:space="preserve">Quelle: </w:t>
      </w:r>
      <w:r>
        <w:t>https://mcp.opencaselaw.ch/entscheid/bvger_E-6132_2010</w:t>
      </w:r>
    </w:p>
    <w:p>
      <w:r>
        <w:t>FR: TAF E-6132/2010 du 12 avril 2012</w:t>
      </w:r>
    </w:p>
    <w:p>
      <w:r>
        <w:t>IT: TAF E-6132/2010 del 12 aprile 2012</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in seiner Verfügung vom 16. Juli 2010 zur Begründung der Verneinung der Flüchtlingseigenschaft des Beschwerdeführers aus, dessen Vorbringen genügten den Anforderungen an die Glaubwürdigkeit (recte: Glaubhaftigkeit) im Sinne von Art. 7 AsylG nicht. Der Beschwerdeführer mache geltend, er sei aufgrund seiner Beteiligung an verschiedenen Kundgebungen sowie wegen seines familiären Hintergrundes seit dem Jahr 1991 ungefähr sieben bis neun Mal von der Polizei und der Gendarmerie festgenommen, kurzzeitig festgehalten und jeweils nach höchstens zweieinhalb Tagen freigelassen worden. Zudem sei nie ein formelles Verfahren gegen ihn eröffnet worden. Dieses Vorgehen entspreche nicht dem üblichen Vorgehen der türkischen Sicherheitskräfte. Hätten diese tatsächlich ein konkretes Verfolgungsinteresse am Beschwerdeführer gehabt, wäre dieser nicht jeweils nach kurzer Inhaftierung freigelassen worden. Ausserdem wäre gegen ihn ein Ermittlungsverfahren eingeleitet worden. Ferner sei den Akten nicht zu entnehmen, dass sich der Beschwerdeführer politisch exponiert habe und damit über ein entsprechendes Profil verfüge. Der Beschwerdeführer mache sodann geltend, dass er aus einer politischen Familie stamme. Gegen einen seiner Cousins sei ein Verfahren eröffnet und dessen Schwester sei ebenfalls kurzzeitig festgehalten worden. Hierzu sei festzustellen, dass es sich bei der Reflexverfolgung um behördliche Belästigungen und Behelligungen von Angehörigen handle, weil die Behörden einer gesuchten, politisch unbequemen Person nicht habhaft werden oder schlechthin von deren Polit-Malus auf einen solchen bei Angehörigen schliessen würden, mit dem Zweck, Informationen über effektiv gesuchte Personen zu erlangen beziehungsweise Geständnisse von Inhaftierten zu erzwingen. Dazu bedürfe es in der Regel zumindest einer gewissen Exponiertheit des Reflexverfolgten, wie beispielweise durch ein nicht unbedeutendes politisches Engagement für illegale politische Organisationen oder Mitgliedschaften bei einer solchen, was vorliegend jedoch nicht der Fall sei. Aus den Akten ergäben sich keine Anhaltspunkte dafür, dass sich der Beschwerdeführer politisch besonders exponiert habe. Zudem sei er weder in einem Verein noch in einer politischen Organisation formelles Mitglied. Es könne den Akten nicht entnommen werden, dass eines seiner Familienmitglieder in jüngster Zeit tatsächlich behördlich gesucht worden sei, zumal sein Cousin väterlicherseits aus der Haft entlassen worden sei. Damit sei nicht davon auszugehen, die türkischen Behörden hätten den Beschwerdeführer wegen der Aktivitäten seiner Verwandten in asylrelevanter Weise verfolgt.</w:t>
      </w:r>
    </w:p>
    <w:p>
      <w:r>
        <w:rPr>
          <w:b/>
        </w:rPr>
        <w:t>E. 4.2</w:t>
      </w:r>
    </w:p>
    <w:p>
      <w:r>
        <w:t>Es mag zwar zutreffen, dass der Beschwerdeführer aufgrund seiner Beteiligungen an verschiedenen Kundgebungen sowie an Zusammenkünften und wegen der Tätigkeiten für die DTP mehrere Male von der Polizei und der Gendarmerie festgenommen und kurzzeitig festgehalten worden ist. Dies scheint auch das BFM nicht in Frage zu stellen. Nachteilen wie kurzzeitige Festnahmen oder Anhaltungen kommt aber im Allgemeinen keine Asylrelevanz zu. Dies ist vorliegend umso weniger der Fall, als sich die geltend gemachten sieben bis neun Verhaftungen aussagegemäss auf einen Zeitraum von 18 Jahren erstreckt haben. Darüber hinaus sei in der Türkei auch kein Verfahren gegen den Beschwerdeführer eröffnet worden, und er sei nie formelles Mitglied der DTP gewesen (vgl. Akten BFM A1/9 S. 5, A6/15 S. 6 F 60), was zusätzlich gegen ein ernsthaftes Verfolgungsinteresse der türkischen Sicherheitskräfte spricht. Es ist somit davon auszugehen, dass sich der Beschwerdeführer politisch nicht derart exponierte, dass er deswegen ins Visier der türkischen Behörden gelangen konnte. Für das fehlende Verfolgungsinteresse spricht auch, dass ihm erst fünf Monate vor seiner Flucht, am 8. Juli 2009, eine Identitätskarte ausgestellt worden ist. Vor diesem Hintergrund, erscheint die Mutmassung in seiner Eingabe, dass ihn die Sicherheitskräfte vor Gericht stellen und zu einer langen Freiheitsstrafe verurteilen wollten, rein spekulativ und realitätsfremd. Auch der Einwand des Beschwerdeführers, die wiederholten Festnahmen würden aufzeigen, dass gegen ihn ein Ermittlungsverfahren am Laufen sei, bleibt eine blosse, unbelegte Behauptung und findet in den Akten keine Stütze. Als fern jeglicher Realität ist zu betrachten, dass die türkischen Behörden seit Jahren gegen ihn ermittelt haben könnten und ihn dabei gelegentlich festgenommen haben sollen, um ihn kurze Zeit später wieder auf freien Fuss zu setzen.</w:t>
      </w:r>
    </w:p>
    <w:p>
      <w:r>
        <w:rPr>
          <w:b/>
        </w:rPr>
        <w:t>E. 4.3.1</w:t>
      </w:r>
    </w:p>
    <w:p>
      <w:r>
        <w:t>Weiter macht der Beschwerdeführer eine Reflexverfolgung geltend, da er aus einer politischen Familie stamme und insbesondere auch wegen seines Cousins G., gegen den in der Türkei ein Strafverfahren hängig sei, der in die Schweiz geflohen sei und zu dem der Beschwerdeführer in der Schweiz in Kontakt stehe. Besagter Cousin sei fast zwei Jahre im Gefängnis gewesen und hätte noch weitere 16 oder 17 Jahre abzusitzen, so die Ausführungen in der Beschwerde.</w:t>
      </w:r>
    </w:p>
    <w:p>
      <w:r>
        <w:rPr>
          <w:b/>
        </w:rPr>
        <w:t>E. 4.3.2</w:t>
      </w:r>
    </w:p>
    <w:p>
      <w:r>
        <w:t>Das Bundesverwaltungsgericht geht - in Anlehnung an die Praxis der vormaligen Schweizerischen Asylrekurskommission (ARK) - davon aus, dass in der Türkei staatliche Repressalien gegen Familienangehörige von politischen Aktivisten existieren, die als sogenannte Reflexverfolgung flüchtlingsrechtlich erheblich im Sinne von Art. 3 AsylG sein können. Die Wahrscheinlichkeit, Opfer einer Reflexverfolgung im dargelegten Sinne zu werden, ist nach vom Gericht weitergeführter Praxis der ARK vor allem gegeben, wenn nach einem flüchtigen Familienmitglied gefahndet wird und die Behörde Anlass zur Vermutung hat, jemand stehe mit dem Gesuchten in engem Kontakt. Das Risiko erhöht sich zusätzlich, wenn ein nicht unbedeutendes politisches Engagement der reflexverfolgten Person für illegale politische Organisationen hinzukommt beziehungsweise ihr seitens der Behörden unterstellt wird (vgl. Entscheidungen und Mitteilungen der Schweizerischen Asylrekurskommission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Schikanen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jedoch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fernhalten (EMARK 2005 Nr. 21 E. 10.2.3. S. 199 f., mit weiteren Hinweisen). Es muss also aufgrund der Umstände des Einzelfalls geprüft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zur allgemeinen Menschenrechtslage in der Türkei das Urteil des Bundesverwaltungsgerichts E-6587/2007 vom 25. Oktober 2010, mit weiteren Hinweisen). Im vorliegenden Fall ist festzustellen, dass der Beschwerdeführer nicht geltend macht, vor seiner Ausreise aus der Türkei in engem Kontakt zu seinem Cousin G. gestanden zu haben. Dass er sich offen für den Cousin oder andere politisch aktive Verwandte eingesetzt hätte, ist den Akten nicht zu entnehmen. Weiter ist - wie oben dargelegt - auch nicht von einem bedeutenden politischen Engagement des Beschwerdeführers für illegale Organisationen auszugehen. Was die DTP anbelangt, welche der Beschwerdeführer nahegestanden sein will, ist sodann darauf hinzuweisen, dass diese Partei gemäss Entscheid des türkischen Verfassungsgerichts vom 11. Dezember 2009 verboten wurde, mithin nach der Ausreise des Beschwerdeführers. Der besagte Cousin hielt sich zudem im Zeitpunkt der Ausreise des Beschwerdeführers noch in der Türkei auf, war demnach für die türkischen Behörden noch greifbar und konnte den Ausgang des gegen ihn laufenden Strafverfahrens offenbar in Freiheit abwarten. Darüber hinaus machte der Beschwerdeführer auch nicht geltend, in der Zeit vor seiner Ausreise aus der Türkei je wegen politisch aktiver Verwandter in den Fokus behördlicher Ermittlungen geraten zu sein, sondern er setzte seine sieben bis neun kurzzeitigen Festnahmen in Zusammenhang mit seinen eigenen politischen Aktivitäten, was ebenfalls gegen eine (zukünftige) Reflexverfolgung spricht. Insgesamt gesehen bestehen nach dem Gesagten keine konkreten Anhaltspunkte für die Annahme, der Beschwerdeführer habe eine Reflexverfolgung zu befürchten, dies auch unter der Annahme, dass er tatsächlich in der Schweiz mit seinem Cousin in Kontakt getreten ist. Es erübrigt sich nach dem Gesagten, die Akten des Cousins G., dessen Asylverfahren erstinstanzlich hängig ist, beizuziehen oder die beiden Verfahren zeitlich zu koordinieren. Der entsprechende Antrag wird nach dem Gesagten abgewiesen.</w:t>
      </w:r>
    </w:p>
    <w:p>
      <w:r>
        <w:rPr>
          <w:b/>
        </w:rPr>
        <w:t>E. 4.4</w:t>
      </w:r>
    </w:p>
    <w:p>
      <w:r>
        <w:t>Bei dieser Sachlage und in Würdigung der gesamten Umstände ist zusammenfassend festzustellen, dass der Beschwerdeführer die Voraussetzungen für die Zuerkennung der Flüchtlingseigenschaft nicht erfüllt. Die Vorinstanz hat daher das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EMARK 2001 Nr. 21).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6.2.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6.3.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 6.4. 6.4.1. 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Rechtsprechung der ARK in EMARK 2006 Nr. 10 E. 5.1, mit weiteren Hinweisen). Vorliegend ist der Vollzug der Wegweisung für den Beschwerdeführer als zumutbar zu erachten, weil keine Hinweise dafür erkennbar sind, er wäre bei einer Rückkehr in die Türkei einer konkreten Gefährdung im genannten Sinne ausgesetzt. Das Bundesverwaltungsgericht erachtet in Weiterführung der durch die ARK gewonnenen Erkenntnisse den Wegweisungsvollzug in die Türkei gestützt auf die allgemeine Lage als generell zumutbar (vgl. EMARK 2005 Nr. 21); eine andere Einschätzung mit Bezug auf die Herkunftsregion des Beschwerdeführers lässt sich nicht zureichend abstützen. Die im Heimatland erworbenen Berufserfahrungen in verschiedenen Branchen und die Kenntnisse der türkischen Sprache (vgl. A1/9, S. 2), werden dem Beschwerdeführer beim Wiederaufbau einer Existenz in seinem Heimatland zugutekommen. Dort leben überdies seine (...) (vgl. A1/9 S. 3). Ferner ist aufgrund seines langjährigen Aufenthalts in D._______ davon auszugehen, dass er dort auch einen Freundes- und Bekanntenkreis hat. Zudem verfügt er über Verwandte in E._______ und in F._______, die er gegebenenfalls um Unterstützung angehen kann. Nach dem Gesagten erweist sich der Vollzug der Wegweisung auch als zumutbar. 6.5. 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 6.6. 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Nachdem die Bedürftigkeit des Beschwerdeführers ausgewiesen ist und das Verfahren nicht als aussichtslos zu bezeichnen war, ist das Gesuch um Gewährung der unentgeltlichen Rechtspflege, über welches bisher nicht entschieden worden ist,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