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E-6130/2015 vom 26. Juli 2017</w:t>
      </w:r>
    </w:p>
    <w:p>
      <w:r>
        <w:t>Bundesverwaltungsgericht, 2017-07-26, DE</w:t>
      </w:r>
    </w:p>
    <w:p>
      <w:r>
        <w:rPr>
          <w:b/>
        </w:rPr>
        <w:t xml:space="preserve">Quelle: </w:t>
      </w:r>
      <w:r>
        <w:t>https://mcp.opencaselaw.ch/entscheid/bvger_E-6130_2015</w:t>
      </w:r>
    </w:p>
    <w:p>
      <w:r>
        <w:t>FR: TAF E-6130/2015 du 26 juillet 2017</w:t>
      </w:r>
    </w:p>
    <w:p>
      <w:r>
        <w:t>IT: TAF E-6130/2015 del 26 luglio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w:t>
      </w:r>
    </w:p>
    <w:p>
      <w:r>
        <w:rPr>
          <w:b/>
        </w:rPr>
        <w:t>E. 3.1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w:t>
      </w:r>
    </w:p>
    <w:p>
      <w:r>
        <w:rPr>
          <w:b/>
        </w:rPr>
        <w:t>E. 3.2</w:t>
      </w:r>
    </w:p>
    <w:p>
      <w:r>
        <w:t>Die Rüge der Verletzung des rechtlichen Gehörs ist begründet. Dass dem Beschwerdeführer nachträglich Einsicht in das radiologische Gutachten zu geben ist, vermag den Verfahrensfehler nicht zu heilen (Vernehmlassung vom 30. Oktober 2015, S. 2). Dies ist umso gravierender, als das Ergebnis dieser Handknochenanalyse bei der Gewährung des rechtlichen Gehörs unkorrekt und in verfälschter Weise wiedergegeben wurde. Das Gutachten des Kantonsspitals Thurgau wurde dem Beschwerdeführer anlässlich des rechtlichen Gehörs vom 10. August 2015 so präsentiert, als sei es der unumstössliche Beweis der Volljährigkeit ("Aufgrund der Anamnese und der Untersuchung liegen keine Gründe für ein von dieser Norm abweichendes Knochenwachstum vor", SEM-Akten, A15, S. 4). Dieses Abklärungsergebnis wurde dem Beschwerdeführer im Verfahren nicht offen gelegt, obschon es den Entscheid beeinflussen kann. Hiermit ist das rechtliche Gehör offensichtlich verletzt. Der Anspruch auf rechtliches Gehör ist formeller Natur und eine Verletzung desselben führt grundsätzlich zur Aufhebung des daraufhin ergangenen Entscheides, ungeachtet der Erfolgsaussichten der Beschwerde in der Sache selbst. Vorbehalten bleiben praxisgemäss Fälle, in denen die Verletzung nicht besonders schwer wiegt und dadurch geheilt werden kann, dass die Partei sich vor einer Instanz äussern kann, die sowohl Tat- als auch Rechtsfragen uneingeschränkt überprüft (vgl. BVGE 2008/47 E. 3.3.4). Vorliegend fällt eine Heilung klar ausser Betracht, da dem Bundesverwaltungsgericht bei Dublin-Verfahren nur beschränkte Kognition zukommt (Art. 106 Abs. 1 AsylG).</w:t>
      </w:r>
    </w:p>
    <w:p>
      <w:r>
        <w:rPr>
          <w:b/>
        </w:rPr>
        <w:t>E. 3.3</w:t>
      </w:r>
    </w:p>
    <w:p>
      <w:r>
        <w:t>Die Beschwerde ist gutzuheissen. Die Verfügung vom 27. August 2015 ist aufzuheben und die Sache im Sinne der Erwägungen einem neuen Entscheid zuzuführen, womit sich Ausführungen zu weiteren Anträgen und Rügen erübrigen. Die Vorinstanz hat das vorliegende Verfahren mit demjenigen des Bruders B._______ zu koordinieren, sollte sich dessen behauptete Minderjährigkeit im Rahmen der Neubeurteilung als nachgewiesen erweisen.</w:t>
      </w:r>
    </w:p>
    <w:p>
      <w:r>
        <w:rPr>
          <w:b/>
        </w:rPr>
        <w:t>E. 4.1</w:t>
      </w:r>
    </w:p>
    <w:p>
      <w:r>
        <w:t>Bei diesem Ausgang des Verfahrens sind dem Beschwerdeführer keine Verfahrenskosten aufzuerlegen (Art. 63 Abs. 1 VwVG).</w:t>
      </w:r>
    </w:p>
    <w:p>
      <w:r>
        <w:rPr>
          <w:b/>
        </w:rPr>
        <w:t>E. 4.2</w:t>
      </w:r>
    </w:p>
    <w:p>
      <w:r>
        <w:t>Obsiegende Parteien haben Anspruch auf eine Parteientschädigung für die ihnen erwachsenen notwendigen Kosten (Art. 64 Abs. 1 VwVG, Art. 7 Abs. 1 Reglement vom 21. Februar 2008 über die Kosten und Entschädigungen vor dem Bundesverwaltungsgericht [VGKE, SR 173.320.2]). Die Rechtsvertretung des Beschwerdeführers hat keine Kostennote eingereicht. Auf entsprechende Nachforderung kann verzichtet werden, da der notwendige Vertretungsaufwand aufgrund der Akten zuverlässig abgeschätzt werden kann. Unter Berücksichtigung der massgebenden Berechnungsfaktoren (Art. 8, 9 und 11 VGKE) ist die Parteientschädigung auf Fr. 1250.- festzusetzen. Die Vorinstanz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