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E-6127/2016 vom 11. Oktober 2016</w:t>
      </w:r>
    </w:p>
    <w:p>
      <w:r>
        <w:t>Bundesverwaltungsgericht, 2016-10-11, DE</w:t>
      </w:r>
    </w:p>
    <w:p>
      <w:r>
        <w:rPr>
          <w:b/>
        </w:rPr>
        <w:t xml:space="preserve">Quelle: </w:t>
      </w:r>
      <w:r>
        <w:t>https://mcp.opencaselaw.ch/entscheid/bvger_E-6127_2016</w:t>
      </w:r>
    </w:p>
    <w:p>
      <w:r>
        <w:t>FR: TAF E-6127/2016 du 11 octobre 2016</w:t>
      </w:r>
    </w:p>
    <w:p>
      <w:r>
        <w:t>IT: TAF E-6127/2016 del 11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Gemäss Art. 31a Abs. 1 Bst. b AsylG tritt das SEM auf ein Asylge­such in der Regel nicht ein, wenn eine asylsuchende Person in einen Drittstaat ausreisen kann,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Gemäss einem Abgleich mit dem CS-Vis erhielt der Beschwerdeführer von Frankreich ein bis 20. Mai 2016 gültiges Schengen-Visum. Die französischen Behörden hiessen das Übernahmeersuchen des SEM innert der in Art. 22 Abs. 1 Dublin-III-VO vorgesehenen Frist gut. Die Zuständigkeit Frankreichs ist somit grundsätzlich gegeben.</w:t>
      </w:r>
    </w:p>
    <w:p>
      <w:r>
        <w:rPr>
          <w:b/>
        </w:rPr>
        <w:t>E. 4.2</w:t>
      </w:r>
    </w:p>
    <w:p>
      <w:r>
        <w:t>Der Beschwerdeführer bringt gegen seine Überstellung nach Frankreich vor, in Algerien habe er gravierende Probleme. Er befürchte, dass die französischen Asylbehörden diesen Problemen nicht Rechnung tragen und ihn nach Algerien abschieben würden.</w:t>
      </w:r>
    </w:p>
    <w:p>
      <w:r>
        <w:rPr>
          <w:b/>
        </w:rPr>
        <w:t>E. 4.3</w:t>
      </w:r>
    </w:p>
    <w:p>
      <w:r>
        <w:t>Frankreich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Frankreich die Verfahrensrichtlinie, die Qualifikationsrichtlinie und die Aufnahmerichtlinie des Europäischen Parlamentes und Rates. Sodann gibt es keine Gründe für die Annahme, das Asylverfahren und die Aufnahmebedingungen für Antragsteller in Frankreich würden systemische Schwachstellen aufweisen, die eine Gefahr einer unmenschlichen oder entwürdigenden Behandlung im Sinne von Art. 4 EU-Grundrechtecharta mit sich bringen.</w:t>
      </w:r>
    </w:p>
    <w:p>
      <w:r>
        <w:rPr>
          <w:b/>
        </w:rPr>
        <w:t>E. 4.4</w:t>
      </w:r>
    </w:p>
    <w:p>
      <w:r>
        <w:t>Mit dem blossen Hinweis auf die Befürchtung, Frankreich schiebe ihn ohne Prüfung seiner Probleme nach Algerien ab, legt der Beschwerdeführer nicht substantiiert dar, inwiefern Frankreich in seinem Fall seine staatsvertraglichen Verpflichtungen missachte und er einer menschenunwürdigen oder erniedrigenden Behandlung ausgesetzt wäre (Art. 3 EMRK), zumal der Beschwerdeführer in Frankreich ein Asylgesuch stellen kann und die Vorinstanz zu Recht festgestellt hat, dass keine konkreten Hinweise dafür vorliegen, dass Frankreich die Asyl- und Wegweisungsverfahren nicht korrekt durchführt. Aus den Akten ist ersichtlich, dass der Beschwerdeführer über Probleme mit dem Kopf geklagt und vom Arzt Beruhigungstabletten bekommen hat. Diese gesundheitlichen Probleme stehen einer Überstellung nach Frankreich ebenfalls nicht entgegen, da Frankreich über eine ausreichende medizinische Infrastruktur verfügt.</w:t>
      </w:r>
    </w:p>
    <w:p>
      <w:r>
        <w:rPr>
          <w:b/>
        </w:rPr>
        <w:t>E. 4.5</w:t>
      </w:r>
    </w:p>
    <w:p>
      <w:r>
        <w:t>Aus den Erwägungen ergibt sich, dass die angefochtene Verfügung kein Bundesrecht verletzt und auch sonst nicht zu beanstanden ist (Art. 106 AsylG und Art. 49 VwVG). Die Beschwerde ist somit abzuweisen.</w:t>
      </w:r>
    </w:p>
    <w:p>
      <w:r>
        <w:rPr>
          <w:b/>
        </w:rPr>
        <w:t>E. 5</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