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E-6126/2018 vom 19. Mai 2020</w:t>
      </w:r>
    </w:p>
    <w:p>
      <w:r>
        <w:t>Bundesverwaltungsgericht, 2020-05-19, DE</w:t>
      </w:r>
    </w:p>
    <w:p>
      <w:r>
        <w:rPr>
          <w:b/>
        </w:rPr>
        <w:t xml:space="preserve">Quelle: </w:t>
      </w:r>
      <w:r>
        <w:t>https://mcp.opencaselaw.ch/entscheid/bvger_E-6126_2018</w:t>
      </w:r>
    </w:p>
    <w:p>
      <w:r>
        <w:t>FR: TAF E-6126/2018 du 19 mai 2020</w:t>
      </w:r>
    </w:p>
    <w:p>
      <w:r>
        <w:t>IT: TAF E-6126/2018 del 19 maggio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wird nachfolgend die neue Gesetzesbezeichnung verwenden.</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zu den praxisgemässen Anforderungen an das Glaubhaftmachen vgl. BVGE 2015/3 E. 6.5.1 m.w.H.).</w:t>
      </w:r>
    </w:p>
    <w:p>
      <w:r>
        <w:rPr>
          <w:b/>
        </w:rPr>
        <w:t>E. 5.3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6.1</w:t>
      </w:r>
    </w:p>
    <w:p>
      <w:r>
        <w:t>Die Vorinstanz kam in der angefochtenen Verfügung zum Schluss, die Vorbringen des Beschwerdeführers hielten den Anforderungen an die Flüchtlingseigenschaft gemäss Art. 3 AsylG nicht stand.</w:t>
      </w:r>
    </w:p>
    <w:p>
      <w:r>
        <w:rPr>
          <w:b/>
        </w:rPr>
        <w:t>E. 6.2</w:t>
      </w:r>
    </w:p>
    <w:p>
      <w:r>
        <w:t>Zur Begründung hielt sie fest, vorab sei festzustellen, dass das Bundesverwaltungsgericht in seinem Urteil E-6544/2017 vom 5. Februar 2018 zur geltend gemachten Konversion festgestellt habe, der Beschwerdeführer weise eklatante Wissenslücken über das Christentum auf. Es habe (die im Irak erfolgte) Konversion und die damit verbundenen Probleme als unglaubhaft eingestuft. Es gelte daher zu prüfen, ob die Befürchtung des Beschwerdeführers, aufgrund der Taufe in der Schweiz im Heimatstaat getötet zu werden, begründet sei. Er habe seine Probleme mit seinen Verwandten aufgrund seiner Konversion nicht glaubhaft machen können. Die eingereichten Beweismittel vermöchten daran nichts zu ändern. Die Fotos seines Vaters seien in keiner Weise geeignet, eine Verfolgung seinerseits nachzuweisen. Das Taufbekenntnis und die Referenzschreiben vermöchten höchstens sein Verhalten in der Schweiz, nicht aber seine Befürchtungen im Hinblick auf Benachteiligungen im Heimatstaat nachzuweisen. Dass er seine Taufe dokumentiert und dies seiner Mutter geschickt habe, erscheine vor dem Hintergrund, dass er angegeben habe, Probleme aufgrund seiner Konversion gehabt zu haben, eher ungeschickt, könne aber da diese nicht glaubhaft seien, als irrelevant eingestuft werden. Der Auszug eines Artikels aus dem Magazin «(...)» vermöge ebenfalls keine Verfolgung nachzuweisen, da die Probleme im Heimatstaat bereits als nicht glaubhaft beurteilt worden seien. Im Artikel werde auch nicht auf eine Taufe in der Schweiz hingewiesen. Es handle sich damit um ein Beweismittel, mit welchem er bereits vorgebrachte Asylgründe stützen wolle. Es müsse davon ausgegangen werden, dass es sich um einen Artikel handle, der aus Gefälligkeit geschrieben worden sei. Für diese Ansicht spreche auch der Umstand, dass im Artikel stehe, die betroffene Person sei am 17. Dezember 2016 ausgereist, wohingegen er gesagt habe, er sei am 27. oder 28. Dezember 2016 ausgereist. Die Anzeige und das Schreiben an das Gericht beträfen ebenfalls die bereits als unglaubhaft befundenen Asylvorbringen und vermöchten diese nicht nachzuweisen. Insbesondere da solche Unterlagen leicht fälschbar seien und er bis anhin in keiner Weise von einer Anzeige oder Ähnlichem berichtet habe. Den Unterlagen komme kein Beweiswert zu. Ebenso wenig sei ersichtlich, inwiefern die Kontaktdaten des Händlers [gemeint: «Bookstore Manager bei (...)»], das Youtube-Video oder der Facebook Account seiner Familie eine Verfolgung seinerseits begründen sollten. Ersteres betreffe die bereits abgehandelten Asylgründe, zweiteres sei eine Darstellung der allgemeinen Lage und letzteres vermöge höchstens über seine Freundschaftsverhältnisse Aufschluss zu geben. Er habe die Probleme im Zusammenhang mit der Konversion im Heimatstaat nicht glaubhaft machen können und die Taufe in der Schweiz sei alleine nicht geeignet, die Flüchtlingseigenschaft zu begründen. Die eingereichten Beweismittel vermöchten keine Verfolgung nachzuweisen. Es sei daher auch nicht davon auszugehen, dass er ausschliesslich aufgrund seiner Taufe in der Schweiz im Heimatstaat Lebensbedrohungen ausgesetzt wäre. Es könne daher offengelassen werden, ob die Taufe in der Schweiz missbräuchlich motiviert gewesen sei.</w:t>
      </w:r>
    </w:p>
    <w:p>
      <w:r>
        <w:rPr>
          <w:b/>
        </w:rPr>
        <w:t>E. 6.3</w:t>
      </w:r>
    </w:p>
    <w:p>
      <w:r>
        <w:t>In der Beschwerde wird daran festgehalten, der Beschwerdeführer sei bereits im Irak konvertiert, sein Cousin (der Mullah sei) sei informiert worden und habe später in einem Interview gesagt, er müsse getötet werden. Er sei tatsächlich Zielscheibe der Dschihadisten geworden. Die Wissenslücken bezüglich des Christentums seien darauf zurückzuführen, dass der Beschwerdeführer die Dolmetscherin, welche bei der Anhörung anwesend gewesen sei, sehr gut gekannt habe. Er sei deshalb geschockt gewesen und habe nicht gewusst, wie er reagieren und wie er die Fragen beantworten solle. Er habe nicht frei sprechen können.</w:t>
      </w:r>
    </w:p>
    <w:p>
      <w:r>
        <w:rPr>
          <w:b/>
        </w:rPr>
        <w:t>E. 6.4</w:t>
      </w:r>
    </w:p>
    <w:p>
      <w:r>
        <w:t>In der Vernehmlassung wird festgehalten, der Beschwerdeführer könne auch mit seinem jüngsten Beweismittel (Schreiben [...]) seine Konversion im Irak nicht glaubhaft machen. Die Begründung er habe wegen der anwesenden Dolmetscherin die Fragen nicht korrekt beantworten könne, müsse als Ausflucht angesehen werden. Zumindest hätte von ihm erwartete werden können, dass er diesen Hinderungsgrund in irgendeiner Weise bekannt gebe, was er hingegen selbst in seinem Wiedererwägungs- / zweiten Asylgesuch nicht getan habe. Bezüglich der eingereichten Unterlagen (Dokumente Polizeibehörde) habe er bis zum Zeitpunkt der Einreichung der betreffenden Dokumente nie eine Anzeige erwähnt. Es bestünden deshalb schon grundsätzliche Zweifel daran. Zudem werde deren Authentizität bezweifelt und ihnen der Beweiswert abgesprochen.</w:t>
      </w:r>
    </w:p>
    <w:p>
      <w:r>
        <w:rPr>
          <w:b/>
        </w:rPr>
        <w:t>E. 6.5</w:t>
      </w:r>
    </w:p>
    <w:p>
      <w:r>
        <w:t>In der Replik wird argumentiert, es gebe für den Beschwerdeführer keinen anderen Grund, als die Hinwendung zum Christentum, für den Besuch der christlichen Bibliothek ([...]). Die Wissenslücken bezogen auf das Christentum seien auf seine fehlende religiöse Bildung zurückzuführen. Sein christlicher Glaube sei genuin und tiefgründig. Er stamme aus einer einflussreichen, strikt religiösen Familie. Seine nächsten Verwandten hätten ihm daher gedroht, er sei in seinem Heimatland nicht mehr willkommen und ihm von einer Rückkehr abgeraten. Seitens der heimatlichen Behörden könne er nicht auf Schutz hoffen.</w:t>
      </w:r>
    </w:p>
    <w:p>
      <w:r>
        <w:rPr>
          <w:b/>
        </w:rPr>
        <w:t>E. 7.1</w:t>
      </w:r>
    </w:p>
    <w:p>
      <w:r>
        <w:t>Nach Prüfung der Akten kommt das Gericht zum Schluss, dass die Vor-instanz im Ergebnis zu Recht die Flüchtlingseigenschaft des Beschwerdeführers verneint und das zweite Asylgesuch abgelehnt hat.</w:t>
      </w:r>
    </w:p>
    <w:p>
      <w:r>
        <w:rPr>
          <w:b/>
        </w:rPr>
        <w:t>E. 7.1.1</w:t>
      </w:r>
    </w:p>
    <w:p>
      <w:r>
        <w:t>In der Rechtsmitteleingabe wird geltend gemacht, der Beschwerdeführer sei wegen der anwesenden Dolmetscherin bei der Anhörung gehemmt gewesen und habe nicht frei sprechen können. Mit diesem Vorbringen wird das erste Asylverfahren kritisiert. Indes hat der Beschwerdeführer diese Schwierigkeiten zuvor in keiner Weise je erwähnt. Dieses Argument hätte im ersten Asylverfahren beziehungsweise im ersten Beschwerdeverfahren vorgebracht werden müssen. Es ist an dieser Stelle zu betonen, dass bereits mit Urteil E-6544/2017 rechtskräftig festgestellt wurde, dass der Beschwerdeführer eine bereits im Heimatland erfolgte Konversion und die in diesem Zusammenhang geltend gemachten Probleme nicht hat glaubhaft machen können. Die gesamten Vorbringen im ersten Asylverfahren zum Asylgesuch (und zu allfälligen Wegweisungsvollzugshindernissen, vgl. Ausführungen dort) haben mithin als res judicata zu gelten und sind nicht erneut zu prüfen.</w:t>
      </w:r>
    </w:p>
    <w:p>
      <w:r>
        <w:rPr>
          <w:b/>
        </w:rPr>
        <w:t>E. 7.1.2</w:t>
      </w:r>
    </w:p>
    <w:p>
      <w:r>
        <w:t>In diesem Zusammenhang ist weiter darauf hinzuweisen, dass die vom Beschwerdeführer bei der Vorinstanz eingereichten Beweismittel (Auszug aus der Zeitschrift «(...)», Anzeige bei der Polizei und Schreiben an das Gericht) welche vor dem Urteil des Bundesverwaltungsgerichts Urteil E-6544/2017 vom 5. Februar 2018 datieren, in einem Revisionsverfahren gemäss Art. 45 VGG einzubringen und mithin unter sinngemässer Anwendung der Revisionsgründe von Art. 121 ff. BGG zu behandeln gewesen wären. An dieser Stelle ist dazu insbesondere zu bemerken, dass nachträglich neu vorgebrachte erhebliche Tatsachen oder entscheidende Beweismittel nur dann für eine Revision in Frage kommen können, wenn sie bei zumutbarer Sorgfalt im ordentlichen Beschwerdeverfahren nicht haben beigebracht werden können (vgl. Art. 123 Abs. 2 Bst. a BGG), was vorliegend nicht aufgezeigt worden ist. Dem Beschwerdeführer ist durch die Würdigung der Beweismittel durch die Vorinstanz kein Nachteil entstanden, indes ist vorliegend auf die in diesem Zusammenhang gemachten Ausführungen nicht näher einzugehen.</w:t>
      </w:r>
    </w:p>
    <w:p>
      <w:r>
        <w:rPr>
          <w:b/>
        </w:rPr>
        <w:t>E. 7.2</w:t>
      </w:r>
    </w:p>
    <w:p>
      <w:r>
        <w:t>Das auf Beschwerdeebene eingereichte Schreiben des Bookstore Managers der (...), welches vom 14. Februar 2019 datiert und damit einer wiedererwägungsweisen Prüfung durch das SEM zugänglich ist, wurde seitens der Vorinstanz in ihrer Vernehmlassung gewürdigt. Das Gericht schliesst sich der Feststellung, dass es sich dabei um ein Gefälligkeitsschreiben handelt, an. Daran vermag auch die am 24. März 2020 angebrachte handschriftliche Notiz des Verfassers nichts zu ändern.</w:t>
      </w:r>
    </w:p>
    <w:p>
      <w:r>
        <w:rPr>
          <w:b/>
        </w:rPr>
        <w:t>E. 7.3</w:t>
      </w:r>
    </w:p>
    <w:p>
      <w:r>
        <w:t>Nachfolgend ist demnach einzig noch zu prüfen, ob der Beschwerdeführer aufgrund sogenannter subjektiver Nachfluchtgründe (Art. 54 AsylG; vgl. vorstehend E. 5.3) wegen seiner vorgebrachten Konversion in der Schweiz bei einer Rückkehr ins Heimatland mit flüchtlingsrechtlich relevanter Verfolgung rechnen müsste. Der Beschwerdeführer macht mit Verweis auf eine Taufbescheinigung und diverse Referenzschreiben geltend, er habe sich am 11. März 2018 in der Schweiz taufen lassen und nehme regelmässig an Gottesdiensten teil.</w:t>
      </w:r>
    </w:p>
    <w:p>
      <w:r>
        <w:rPr>
          <w:b/>
        </w:rPr>
        <w:t>E. 7.3.1</w:t>
      </w:r>
    </w:p>
    <w:p>
      <w:r>
        <w:t>Wie stark sich der Beschwerdeführer tatsächlich mit dem christlichen Glauben verbunden fühlt, kann naturgemäss nicht eruiert werden, da es sich dabei um eine innere Tatsache handelt. Zum Beweis reichte der Beschwerdeführer mit seinem zweiten Asylgesuch ein Taufbekenntnis, eine Bestätigung der FCG E._______ und zwei Referenzschreiben zu den Akten. Auf Beschwerdeebene reichte er weitere Referenzschreiben ein. Als erstellt zu erachten, ist damit, dass der Beschwerdeführer sich in der Schweiz hat taufen lassen und regelmässig christliche Gottesdienste besucht. Dass der Beschwerdeführer seiner Mutter Fotos und Videos seiner Taufe in der Schweiz geschickt habe, welche in der Folge von seinem Vater entdeckt worden seien, erscheint indes nicht plausibel.</w:t>
      </w:r>
    </w:p>
    <w:p>
      <w:r>
        <w:rPr>
          <w:b/>
        </w:rPr>
        <w:t>E. 7.3.2</w:t>
      </w:r>
    </w:p>
    <w:p>
      <w:r>
        <w:t>Die Situation der Christen in den vier nordirakischen Provinzen wird im Allgemeinen als grundsätzlich sicher beurteilt. In allen drei Provinzen hat es grössere christliche Bevölkerungsgruppen und es liegen keine Berichte über behördliche Gewaltakte gegen Christen vor. Gleichzeitig trifft es zu, dass Christen auch im Nordirak Diskriminierungen (auch durch die staatlichen Behörden) und privaten Belästigungen ausgesetzt sind. Zur Problematik der Konversion vom Islam zu Christentum ist festzuhalten, dass das irakische Recht die Konversion vom Islam zum Christentum nicht unter Strafe stellt (vgl. U.S. Department of State, International Religious Freedom Report for 2018, Iraq, S. 4; https://www.state.gov/reports/2018-report-on-international-religious-freedom/iraq/, abgerufen am 4.5.2020). Nicht in Zweifel zu ziehen ist hingegen, dass zum Christentum konvertierte ehemalige Muslime im Irak auf Intoleranz und Diskriminierung stossen. Dies gilt vor allem in Bezug auf die Eintragung der Religionszugehörigkeit in der Identitätskarte und die Schulbildung von Kindern. Zudem reagieren Familienmitglieder und Stammesmitglieder oft ablehnend auf Konversionen zum Christentum in ihrem Umfeld (vgl. UK Home Office, Country Policy and Information Note Iraq: Religious minorities, Oktober 2019, https://assets.publishing.service.gov.uk/government/uploads/system/uploads/attachment_data/file/837862/Iraq_-_Religious_Minorities_-_CPIN_-_v2.0__October_2019__-_EXT.pdf; UNHCR Eligibility Guidelines for Assessing the International Protection Needs of Asylum Seekers from Iraq, 31. Mai 2012, alle abgerufen am 4.5.2020). Es gibt jedoch keine Hinweise darauf, dass konvertierten Christen in den kurdischen Provinzen des Nordiraks aufgrund der Annahme ihres neuen Glaubens eine flüchtlingsrechtlich relevante Verfolgung drohen würde (vgl. dazu auch Urteil des BVGer E-1510/2014 vom 29. September 2015). Die nordirakischen Behörden sind gegenüber Christen und Konvertiten grundsätzlich schutzwillig und schutzfähig (vgl. BVGE 2008/4 E. 6.1 ff. sowie Urteile des BVGer E-6267/2016 vom 2. November 2016 E. 4, E-5370/2013 vom 23. Januar 2015 E. 7.2).</w:t>
      </w:r>
    </w:p>
    <w:p>
      <w:r>
        <w:rPr>
          <w:b/>
        </w:rPr>
        <w:t>E. 7.3.3</w:t>
      </w:r>
    </w:p>
    <w:p>
      <w:r>
        <w:t>Daraus ist zu folgern, dass der Beschwerdeführer, unabhängig davon, ob und wie stark seine Konversion zum Christentum durch seinen Wunsch, in der Schweiz bleiben zu können, motiviert gewesen sein mag, bei einer Rückkehr in den Nordirak keiner flüchtlingsrechtlich relevanten Verfolgung ausgesetzt sein wird. Den Akten ist zu entnehmen, dass der Beschwerdeführer in keiner Weise missionierend tätig ist. Eine diskrete Ausübung seines Glaubens ist ihm daher zumutbar und führt nicht zu einem unerträglichen psychischen Druck (vgl. dazu auch Urteil des BVGer D-6037/2019 vom 29. April 2020). Es ist ferner davon auszugehen, dass sich der Beschwerdeführer als junger, gesunder Mann allfälligen Anfeindungen seiner Familie entziehen kann. Das Vorhandensein subjektiver Nachfluchtgründe ist zu verneinen.</w:t>
      </w:r>
    </w:p>
    <w:p>
      <w:r>
        <w:rPr>
          <w:b/>
        </w:rPr>
        <w:t>E. 7.4</w:t>
      </w:r>
    </w:p>
    <w:p>
      <w:r>
        <w:t>Zusammenfassend ist festzustellen, dass die Vorinstanz die Flüchtlingseigenschaft des Beschwerdeführers zu Recht verneint und sein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Es ist zu prüfen, ob das SEM zu Recht davon ausgegangen ist, es bestünden nach wie vor keine Hindernisse für den Vollzug der Wegweisung des Beschwerdeführers in den Irak.</w:t>
      </w:r>
    </w:p>
    <w:p>
      <w:r>
        <w:rPr>
          <w:b/>
        </w:rPr>
        <w:t>E. 9.2.1</w:t>
      </w:r>
    </w:p>
    <w:p>
      <w:r>
        <w:t>Es ergeben sich weder aus den Aussagen des Beschwerdeführers noch aus den Akten Anhaltspunkte, die gegen die Zulässigkeit des Vollzug der Wegweisung im Sinn der asyl- und der völkerrechtlichen Bestimmungen (Art. 5 Asyl, Art. 3 EMRK oder Art. 1 FoK) sprechen würden.</w:t>
      </w:r>
    </w:p>
    <w:p>
      <w:r>
        <w:rPr>
          <w:b/>
        </w:rPr>
        <w:t>E. 9.2.2</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9.2.3</w:t>
      </w:r>
    </w:p>
    <w:p>
      <w:r>
        <w:t>In der im Referenzurteil E-3737/2015 vom 14. Dezember 2015 vorgenommenen Lageeinschätzung wurde festgestellt, dass in den vier Provinzen der KRG-Region nicht von einer Situation allgemeiner Gewalt im Sinn von Art. 83 Abs. 4 AIG auszugehen ist. Diese Einschätzung hat nach wie vor Gültigkeit (vgl. zuletzt Urteil des BVGer D-787/2020 vom 17. April 2020 E. 7.3.1). Der Wegweisungsvollzug in den Nordirak ist damit nach wie vor als grundsätzlich zumutbar zu bezeichnen.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statt vieler E-362/2019 vom 17. Juni 2019 E. 8.3.2, E-2855/2018 vom 14. Januar 2019 E. 5.6.1; D-1779/2016 vom 6. Dezember 2018 E. 7.3.2; D-233/2017 vom 9. März 2017 E. 10.6).</w:t>
      </w:r>
    </w:p>
    <w:p>
      <w:r>
        <w:rPr>
          <w:b/>
        </w:rPr>
        <w:t>E. 9.2.4</w:t>
      </w:r>
    </w:p>
    <w:p>
      <w:r>
        <w:t>Der Beschwerdeführer stammt aus der von der kurdischen Regionalregierung kontrollierten nordirakischen Provinz D._______. Wie bereits im ersten Asylverfahren und mit Urteil E-6544/2017 festgehalten, ist aufgrund der Ausbildung und Arbeitserfahrung des Beschwerdeführers davon auszugehen, dass er bei einer Rückkehr wieder eine Arbeit finden und für seinen Lebensunterhalt aufkommen kann. Mit seiner Familie und seiner Verwandtschaft verfügt er in D._______ über ein tragfähiges familiäres Beziehungsnetz. Im Weiteren ist auch davon auszugehen, dass der Beschwerdeführer über einen Freundeskreis in D._______ verfügt, an den er sich wenden könnte, sollte er die Hilfe seiner Familie nicht beanspruchen wollen. Seine Konversion zum Christentum - sollte er bei einer Rückkehr weiter daran festhalten - könnte ihm die Reintegration zwar erschweren, die ihm drohenden Hindernisse und Diskriminierungen erscheinen jedoch nicht so gross, als dass er sie nicht überwinden könnte. Der Vollzug der Wegweisung erweist sich demnach auch in individueller Hinsicht als zumutbar.</w:t>
      </w:r>
    </w:p>
    <w:p>
      <w:r>
        <w:rPr>
          <w:b/>
        </w:rPr>
        <w:t>E. 9.3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von Fr. 750.- (Art. 1-3 des Reglements vom 21. Februar 2008 über die Kosten und Entschädigungen vor dem Bundesverwaltungsgericht [VGKE], SR 173.320.2) dem Beschwerdeführer aufzuerlegen (Art. 63 Abs. 1 VwVG). Der geleistete Kostenvorschuss in gleicher Höhe wird zu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