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E-6126/2017 vom 5. April 2018</w:t>
      </w:r>
    </w:p>
    <w:p>
      <w:r>
        <w:t>Bundesverwaltungsgericht, 2018-04-05, FR</w:t>
      </w:r>
    </w:p>
    <w:p>
      <w:r>
        <w:rPr>
          <w:b/>
        </w:rPr>
        <w:t xml:space="preserve">Quelle: </w:t>
      </w:r>
      <w:r>
        <w:t>https://mcp.opencaselaw.ch/entscheid/bvger_E-6126_2017</w:t>
      </w:r>
    </w:p>
    <w:p>
      <w:r>
        <w:t>FR: TAF E-6126/2017 du 5 avril 2018</w:t>
      </w:r>
    </w:p>
    <w:p>
      <w:r>
        <w:t>IT: TAF E-6126/2017 del 5 aprile 2018</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 délai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n'a pas été en mesure de faire apparaître le sérieux et la pertinence de ses motifs.</w:t>
      </w:r>
    </w:p>
    <w:p>
      <w:r>
        <w:rPr>
          <w:b/>
        </w:rPr>
        <w:t>E. 3.2</w:t>
      </w:r>
    </w:p>
    <w:p>
      <w:r>
        <w:t>Le Tribunal considère que les griefs retenus par le SEM, de nature secondaire et parfois spéculative, n'ont pas une portée décisive. Cependant, les circonstances de sa seconde arrestation, telles qu'il les a dépeintes, sont peu claires et dénuées de crédibilité : il aurait été arrêté au même endroit que la première fois (à la sortie de l'université), pour des raisons qu'il n'a jamais explicitées, et a fourni de ces événements une description très stéréotypée. De même, certains éléments des déclarations du recourant relatives à sa plus récente arrestation, de mars 2013, ne sont pas davantage crédibles : ainsi, il n'est pas vraisemblable qu'il ait été laissé en possession de son passeport durant toute sa dernière détention ; il apparaît également peu convaincant qu'il ne puisse indiquer le nom du groupe armé dont l'attaque sur D._______ lui aurait permis d'être libéré. Le Tribunal constate également que le récit du recourant au sujet de cette arrestation et de la détention qui aurait suivi peut être, là aussi, qualifié de stéréotypé.</w:t>
      </w:r>
    </w:p>
    <w:p>
      <w:r>
        <w:rPr>
          <w:b/>
        </w:rPr>
        <w:t>E. 3.3</w:t>
      </w:r>
    </w:p>
    <w:p>
      <w:r>
        <w:t>Cela étant, le Tribunal doit constater que les interpellations du recourant (et les périodes d'incarcération qui auraient suivi) sont très antérieures à son départ du Soudan, et n'apparaissent pas entretenir un lien de causalité direct avec lui ; ce départ aurait eu lieu, en effet, presque deux ans après la fin de sa dernière détention. Rien n'indique par ailleurs que l'intéressé ait été, ou soit encore, recherché par les autorités soudanaises. Il aurait été relâché sans formalités après ses trois premières arrestations, dont la plus récente remonte à 2008. Quant à la quatrième, intervenue en mars 2013, à supposer qu'elle ait bien eu lieu, et bien que terminée par une évasion, elle n'a, semble-t-il, pas entraîné d'enquête, le recourant ayant encore passé six mois au camp de F._______, puis quinze mois à Khartoum, sans jamais se trouver confronté à la police et aux services de sécurité. Il est d'ailleurs à noter que l'intéressé a lui-même admis que le camp de F._______ n'était pas administré par les autorités soudanaises, qui n'y faisaient que des visites épisodiques (cf. audition du 21 août 2017, questions 141-144). De même, il a dit avoir résidé, à Khartoum, dans un quartier où la police n'intervenait jamais, ce qui lui aurait permis de travailleur durant tout son séjour sans rencontrer d'ennuis (idem, questions 98, 128 et 137). Il apparaît donc que l'intéressé aurait pu prolonger son séjour à F._______ (où se trouvent encore ses proches), comme à Khartoum, sans courir de risques concrets et pressants d'être à nouveau interpellé.</w:t>
      </w:r>
    </w:p>
    <w:p>
      <w:r>
        <w:rPr>
          <w:b/>
        </w:rPr>
        <w:t>E. 3.4</w:t>
      </w:r>
    </w:p>
    <w:p>
      <w:r>
        <w:t>A cela s'ajoute que le motif politique des arrestations décrites est vague et peu caractérisé. La première d'entre elles aurait été motivée par des remarques échangées par l'intéressé avec ses camarades, au sujet du manque d'attention que le gouvernement apportait au développement du Darfour ; les deux suivantes auraient fait suite à un défaut de pièces d'identité ; quant à la dernière, elle aurait découlé d'une revendication du recourant pour l'ouverture d'une école dans son village. Les interpellations qui l'auraient visé ne résultaient donc pas d'un véritable engagement politique. Par ailleurs, le fait qu'il appartienne à une ethnie installée au Darfour a pu exciter l'hostilité de ses interrogateurs et l'exposer à des sévices. Cependant, une telle extraction ne serait pas, en soi, une cause de persécution, ainsi que le Tribunal l'a déjà retenu : en effet, le conflit du Darfour, qui opposait primitivement les milices arabophones aux ethnies négro-africaines, s'est complexifié et fragmenté, confrontant de multiples factions, aux intérêts divergents (ATAF 2013/21 consid. 9.3.1-9.3.4 p. 265-273) ; ce constat n'a pas été remis en cause (cf. l'arrêt E-6651/2017 du 19 février 2018, consid. 3.2, pour une analyse complète). Il n'y a donc plus, au Darfour, de persécutions de nature uniquement ethnique. En outre, les Bertis sont arabophones et ne se trouvent pas dans la situation aussi difficile que celle que connaissent les membres des ethnies négro-africaines.</w:t>
      </w:r>
    </w:p>
    <w:p>
      <w:r>
        <w:rPr>
          <w:b/>
        </w:rPr>
        <w:t>E. 3.5</w:t>
      </w:r>
    </w:p>
    <w:p>
      <w:r>
        <w:t>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6.5</w:t>
      </w:r>
    </w:p>
    <w:p>
      <w:r>
        <w:t>En l'occurrence, le Tribunal retient, comme déjà relevé plus haut, que l'intéressé n'a pas été en mesure d'établir la forte probabilité d'un risque de cette nature ; en effet, il n'est pas vraisemblable, pour les motifs déjà évoqués, qu'il courre un danger concret d'arrestation, ou puisse se trouver plus particulièrement la cible de tels traitements. Dès lors, l'exécution du renvoi du recourant sous forme de refoulement ne contrevient à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w:t>
      </w:r>
    </w:p>
    <w:p>
      <w:r>
        <w:rPr>
          <w:b/>
        </w:rPr>
        <w:t>E. 7.2</w:t>
      </w:r>
    </w:p>
    <w:p>
      <w:r>
        <w:t>Il est notoire que le Soudan, et plus particulièrement la région de Khartoum,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Un retour du recourant au Sud-Darfour n'est certes pas raisonnablement exigible, en raison des troubles qui agitent toujours cette région. S'agissant d'un retour dans l'agglomération de Khartoum, la jurisprudence (ATAF 2013/5 consid. 5.4-5.5 p. 55-59) a posé qu'une telle éventualité pouvait être admise, pour les personnes même menacées de persécution au Darfour, dans la mesure où l'exécution du renvoi y était raisonnablement exigible ; pour en trancher, il y a lieu de se baser sur les critères retenus à l'ATAF 2011/51, qui consacre la théorie de la protection. Selon cet arrêt (consid. 8.5-8.7 p. 1022-1025), l'existence d'un refuge interne à Khartoum - et donc, a fortiori, d'une réinstallation - peut être admise si la personne intéressée peut y trouver une protection effective (question qui ne se pose pas en l'espèce, le risque de persécution n'ayant pas été retenu), si elle peut l'atteindre et y séjourner de manière légale, et si son retour y est raisonnablement exigible au sens de l'art. 83 al. 4 LEtr (RS 142.20), au vu des conditions générales que connaît le lieu de refuge et des circonstances spécifiques au requérant.</w:t>
      </w:r>
    </w:p>
    <w:p>
      <w:r>
        <w:rPr>
          <w:b/>
        </w:rPr>
        <w:t>E. 7.4</w:t>
      </w:r>
    </w:p>
    <w:p>
      <w:r>
        <w:t>Dans le cas particulier, l'intéressé a passé plusieurs années à Khartoum, comme étudiant (2001-2005), puis avant son départ (octobre 2013-janvier 2015). Il parle arabe et dispose d'une bonne formation, ayant obtenu un diplôme de comptabilité, et d'une expérience professionnelle dans le petit commerce. En outre, il est encore jeune, sans charge de famille et n'a pas documenté de problème de santé particulier. Dans ce contexte, l'existence d'un réseau social et familial étoffé sur place n'est donc pas décisive.</w:t>
      </w:r>
    </w:p>
    <w:p>
      <w:r>
        <w:rPr>
          <w:b/>
        </w:rPr>
        <w:t>E. 7.5</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(art. 83 al. 2 LEtr ; cf. ATAF 2008/34 consid. 12).</w:t>
      </w:r>
    </w:p>
    <w:p>
      <w:r>
        <w:rPr>
          <w:b/>
        </w:rPr>
        <w:t>E. 9</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10.1</w:t>
      </w:r>
    </w:p>
    <w:p>
      <w:r>
        <w:t>L'assistance judiciaire ayant été accordée, il n'y a pas lieu de percevoir de frais (art. 65 al. 1 PA).</w:t>
      </w:r>
    </w:p>
    <w:p>
      <w:r>
        <w:rPr>
          <w:b/>
        </w:rPr>
        <w:t>E. 10.2</w:t>
      </w:r>
    </w:p>
    <w:p>
      <w:r>
        <w:t>En l'absence de note de frais, le Tribunal fixe l'indemnité des mandataires commis d'office sur la base du dossier (art. 14 al. 1 et 2 du règlement du 21 février 2008 concernant les frais, dépens et indemnités fixés par le Tribunal administratif fédéral [FITAF, RS 173.320.2]). En cas de représentation d'office, le tarif horaire est dans la règle de 200 à 400 francs pour les avocats, et de 100 à 300 francs pour les représentants n'exerçant pas la profession d'avocat. Seuls les frais nécessaires sont indemnisés (art. 8 al. 2 et 10 al. 2 FITAF).</w:t>
      </w:r>
    </w:p>
    <w:p>
      <w:r>
        <w:rPr>
          <w:b/>
        </w:rPr>
        <w:t>E. 10.3</w:t>
      </w:r>
    </w:p>
    <w:p>
      <w:r>
        <w:t>Dans le cas d'espèce, le Tribunal estime le temps de travail nécessité par la procédure de recours (rédaction d'un acte de recours) à huit heures. L'indemnité, au tarif horaire de 200 francs, est ainsi arrêtée à 1600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