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E-6125/2013 vom 4. November 2013</w:t>
      </w:r>
    </w:p>
    <w:p>
      <w:r>
        <w:t>Bundesverwaltungsgericht, 2013-11-04, DE</w:t>
      </w:r>
    </w:p>
    <w:p>
      <w:r>
        <w:rPr>
          <w:b/>
        </w:rPr>
        <w:t xml:space="preserve">Quelle: </w:t>
      </w:r>
      <w:r>
        <w:t>https://mcp.opencaselaw.ch/entscheid/bvger_E-6125_2013</w:t>
      </w:r>
    </w:p>
    <w:p>
      <w:r>
        <w:t>FR: TAF E-6125/2013 du 4 novembre 2013</w:t>
      </w:r>
    </w:p>
    <w:p>
      <w:r>
        <w:t>IT: TAF E-6125/2013 del 4 novembre 2013</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erhobene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w:t>
      </w:r>
    </w:p>
    <w:p>
      <w:r>
        <w:rPr>
          <w:b/>
        </w:rPr>
        <w:t>E. 4.1</w:t>
      </w:r>
    </w:p>
    <w:p>
      <w:r>
        <w:t>Gemäss Art. 34 Abs. 1 AsylG wird auf Gesuche von Asylsuchenden aus verfolgungssicheren Staaten nach Art. 6a Abs. 2 Bst. a AsylG nicht eingetreten, ausser es gebe Hinweise auf eine Verfolgung. Nach der Rechtsprechung des Bundesverwaltungsgerichts gelten im Anwendungsbereich von Art. 34 Abs. 1 AsylG ein weiter Verfolgungsbegriff und ein tiefes Beweismass. Der Begriff der Verfolgung umfasst nicht nur ernsthafte Nachteile nach Art. 3 AsylG, sondern auch die von Menschenhand verursachten Wegweisungshindernisse (BVGE 2011/8 E. 4.2). Das bedeutet, dass im Vergleich zum - bereits erleichterten - Beweismass des Glaubhaftmachens ein nochmals reduzierter Massstab anzuwenden ist.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(Urteil D-5898/2011 vom 31. Oktober 2011, mit Hinweisen). Sobald nicht "offensichtlich haltlose Hinweise" auf eine Verfolgung durch Dritte vorliegen, ist zur Prüfung auch im Hinblick auf eine inländischen Fluchtalternative auf das Asylgesuch einzutreten (vgl. BVGE 2007/8 E. 5.2 S. 77 am Ende).</w:t>
      </w:r>
    </w:p>
    <w:p>
      <w:r>
        <w:rPr>
          <w:b/>
        </w:rPr>
        <w:t>E. 4.2</w:t>
      </w:r>
    </w:p>
    <w:p>
      <w:r>
        <w:t>Die Beschwerdeführenden sind Staatsangehörige von Kosovo. Der Bundesrat hat dieses Land mit Beschluss vom 6. März 2009 zum Safe Country erklärt. Die formellen Voraussetzungen für einen Nichteintretensentscheid sind damit erfüllt. Zu prüfen bleibt, ob die Vorinstanz zu Recht erwogen hat, aus den Akten würden sich keine Hinweise ergeben, welche die in Bezug auf in Kosovo bestehende Vermutung der Verfolgungssicherheit widerlegen könnten.</w:t>
      </w:r>
    </w:p>
    <w:p>
      <w:r>
        <w:rPr>
          <w:b/>
        </w:rPr>
        <w:t>E. 4.3</w:t>
      </w:r>
    </w:p>
    <w:p>
      <w:r>
        <w:t>Die Vorinstanz hat in ihrer Verfügung vom 24. Oktober 2013 einlässlich begründet, weshalb die Vorbringen der Beschwerdeführenden offensichtlich unglaubhaft sind und, selbst wenn sie zuträfen, keine Hinweise auf Verfolgung enthalten. Die Beschwerdeführenden setzen sich mit der vorinstanzlichen Verfügung kaum auseinander und zeigen nicht auf, inwiefern diese Bundesrecht verletzen oder auf einer fehlerhaften Sachverhaltsfeststellung beruhen soll. Solches ist auch nicht ersichtlich. Die Beschwerdeführenden machen geltend, im Heimatstaat sowohl bedroht worden zu sein als auch psychische Probleme gehabt zu haben. In Übereinstimmung mit der Vorinstanz ist festzustellen, dass die Vorbringen unabhängig von deren Glaubhaftigkeit keinerlei Hinweise auf Verfolgung erkennen lassen. Es kann hierbei auf die ausführlichen und zutreffenden Erwägungen der vorinstanzlichen Verfügung verwiesen werden. Auch die Vorbringen auf Beschwerdeebene vermögen an diesem Ergebnis nichts zu ändern. Entgegen der Meinung der Beschwerdeführenden ist aufgrund der Akten namentlich nicht ersichtlich, inwiefern es während der Anhörung des Beschwerdeführenden 1 zu Verständigungsproblemen gekommen sein soll. Auf die Frage, wie er den Dolmetscher verstehe, antwortete er mit "gut". Er hat sodann unterschriftlich bestätigt, dass ihm das Anhörungsprotokoll Satz für Satz vorgelesen und in eine für ihn verständliche Sprache übersetzt wurde, dass es vollständig ist und seinen freien Äusserungen entspricht.</w:t>
      </w:r>
    </w:p>
    <w:p>
      <w:r>
        <w:rPr>
          <w:b/>
        </w:rPr>
        <w:t>E. 4.4</w:t>
      </w:r>
    </w:p>
    <w:p>
      <w:r>
        <w:t>Zusammenfassend ergibt sich, dass keine Hinweise auf eine Verfolgung Art. 34 Abs. 1 AsylG vorliegen und die Vorinstanz auf die Asylgesuche zu Recht nicht eingetreten ist.</w:t>
      </w:r>
    </w:p>
    <w:p>
      <w:r>
        <w:rPr>
          <w:b/>
        </w:rPr>
        <w:t>E. 5</w:t>
      </w:r>
    </w:p>
    <w:p>
      <w:r>
        <w:t>Gemäss Art. 44 Abs. 1 AsylG verfügt das Bundesamt in der Regel die Wegweisung aus der Schweiz und ordnet den Vollzug an, wenn es Asylgesuche ablehnt oder darauf nicht eintritt. Die Beschwerdeführenden verfügen weder über eine ausländerrechtliche Aufenthaltsbewilligung noch über einen Anspruch auf Erteilung einer solchen (BVGE 2009/50 E. 9). Das Bundesamt hat die Anordnung der Wegweisung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Beschwerdeführenden und den Akten ergeben sich keine konkreten Anhaltspunkte dafür, dass sie für den Fall einer Ausschaffung in ihr Heimatland dort mit beachtlicher Wahrscheinlichkeit einer nach Art. 3 EMRK oder Art. 1 FoK verbotenen Strafe oder Behandlung ausgesetzt wäre. Der Vollzug der Wegweisung ist somit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Kosovo noch individuelle Gründe lassen auf eine konkrete Gefährdung im Falle einer Rückkehr der Beschwerdeführenden in den Kosovo schliessen. Bezüglich der vorgebrachten, aber nicht weiter dokumentierten gesundheitlichen Probleme ist festzuhalten, dass bereits eine Behandlung im Heimatland stattgefunden hat. Diese kann ohne Weiteres dort fortgeführt werden. Der Vollzug der Wegweisung ist demnach zumutbar.</w:t>
      </w:r>
    </w:p>
    <w:p>
      <w:r>
        <w:rPr>
          <w:b/>
        </w:rPr>
        <w:t>E. 6.4</w:t>
      </w:r>
    </w:p>
    <w:p>
      <w:r>
        <w:t>Der Vollzug ist schliesslich nach Art. 83 Abs. 2 AuG als möglich zu bezeichnen, weil es den Beschwerdeführenden obliegt, sich bei der zuständigen Vertretung des Heimatstaates die für eine Rückkehr notwendigen Reisedokumente zu beschaffen (BVGE 2008/34 E. 12 S. 513-515).</w:t>
      </w:r>
    </w:p>
    <w:p>
      <w:r>
        <w:rPr>
          <w:b/>
        </w:rPr>
        <w:t>E. 7</w:t>
      </w:r>
    </w:p>
    <w:p>
      <w:r>
        <w:t>Aus den vorstehenden Erwägungen ergibt sich, dass die angefochtene Verfügung Bundesrecht nicht verletzt und auch kein anderer Beschwerdegrund erfüllt ist (Art. 106 Abs. 1 AsylG). Die Beschwerde ist abzuweisen.</w:t>
      </w:r>
    </w:p>
    <w:p>
      <w:r>
        <w:rPr>
          <w:b/>
        </w:rPr>
        <w:t>E. 8</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