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E-6124/2013 vom 6. März 2014</w:t>
      </w:r>
    </w:p>
    <w:p>
      <w:r>
        <w:t>Bundesverwaltungsgericht, 2014-03-06, DE</w:t>
      </w:r>
    </w:p>
    <w:p>
      <w:r>
        <w:rPr>
          <w:b/>
        </w:rPr>
        <w:t xml:space="preserve">Quelle: </w:t>
      </w:r>
      <w:r>
        <w:t>https://mcp.opencaselaw.ch/entscheid/bvger_E-6124_2013</w:t>
      </w:r>
    </w:p>
    <w:p>
      <w:r>
        <w:t>FR: TAF E-6124/2013 du 6 mars 2014</w:t>
      </w:r>
    </w:p>
    <w:p>
      <w:r>
        <w:t>IT: TAF E-6124/2013 del 6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wurden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Abs. 1 VwVG). Auf diese ist einzutreten.</w:t>
      </w:r>
    </w:p>
    <w:p>
      <w:r>
        <w:rPr>
          <w:b/>
        </w:rPr>
        <w:t>E. 1.4</w:t>
      </w:r>
    </w:p>
    <w:p>
      <w:r>
        <w:t>Aufgrund des engen persönlichen und sachlichen Zusammenhangs sowie aus prozessökonomischen Gründen werden die Beschwerdeverfahren der Beschwerdeführenden vereinigt und über diese wird in einem Urteil befunden.</w:t>
      </w:r>
    </w:p>
    <w:p>
      <w:r>
        <w:rPr>
          <w:b/>
        </w:rPr>
        <w:t>E. 2</w:t>
      </w:r>
    </w:p>
    <w:p>
      <w:r>
        <w:t>Die Kognition und die Rügemöglichkeiten richten sich nach Art. 106 Abs. 1 AsylG.</w:t>
      </w:r>
    </w:p>
    <w:p>
      <w:r>
        <w:rPr>
          <w:b/>
        </w:rPr>
        <w:t>E. 3</w:t>
      </w:r>
    </w:p>
    <w:p>
      <w:r>
        <w:t>Die Beschwerdeführenden rügen zunächst in formeller Hinsicht, das BFM habe ihre Asylverfahren unzulässigerweise nicht gemeinsam entschieden, obgleich sie seit zwei Jahren ein Paar seien, in D._______ zusammengewohnt hätten und sich gemeinsam um die kranke Beschwerdeführerin 3 kümmern würden. Zudem habe sich die Beschwerdeführerin 2 bei den Befragungen durch die Vorinstanz mehrheitlich auf die Asylgründe des Beschwerdeführers 1 bezogen. Deshalb beantragen die Beschwerdeführenden, die vorinstanzlichen Verfahren seien zu vereinigen, die angefochtenen Verfügungen vollumfänglich aufzuheben und das vereinigte Verfahren sei zur Vornahme zusätzlicher Abklärungen und zur Neubeurteilung an die Vorinstanz zurückzuweisen. Die beantragte Verfahrensvereinigung ist abzuweisen. Mit der zwar getrennten, aber koordinierten Behandlung der Asylgesuche des Beschwerdeführers 1 und der Beschwerdeführerinnen 2 und 3 hat die Vorinstanz dem Konkubinat grundsätzlich - vorbehältlich der nachfolgenden Ausführungen unter E. 8.2 - hinreichend Rechnung getragen. Für eine Vereinigung der vorinstanzlichen Verfahren und einer dadurch bedingten Rückweisung zur Neubeurteilung der Flüchtlingseigenschaft besteht somit keine Veranlassung.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Verfügungen insbesondere aus, da vom Vorhandensein eines adäquaten Schutzes durch den kosovarischen Staat auszugehen sei, seien die geltend gemachten Übergriffe auf den Beschwerdeführer 1, die Drohungen gegenüber den Beschwerdeführerinnen 2 und 3 und das Einschlagen von Fenstern am gemeinsamen Wohnsitz durch unbekannte Albaner, nicht asylrelevant im Sinne von Art. 3 AsylG. Zudem seien die Vorbringen der Beschwerdeführenden unglaubhaft; sie würden der allgemeinen Erfahrung beziehungsweise der Logik des Handelns widersprechen und seien nicht hinreichend begründet beziehungsweise teilweise nachgeschoben worden. Die eingereichten Beweismittel würden sodann einzig die Tätigkeit des Beschwerdeführers 1 in der Reserveabteilung der serbischen (...) belegen, nicht aber daraus folgende Übergriffe. Zusammenfassend hielten die Vorbringen der Beschwerdeführenden weder den Anforderungen an die Asylrelevanz gemäss Art. 3 AsylG noch jenen an die Glaubhaftigkeit gemäss Art. 7 AsylG stand, weshalb die Asylgesuche gemäss Art. 40 in Verbindung mit Art. 6a Abs. 2 Bst. a AsylG ohne weitere Abklärungen abzulehnen seien.</w:t>
      </w:r>
    </w:p>
    <w:p>
      <w:r>
        <w:rPr>
          <w:b/>
        </w:rPr>
        <w:t>E. 5.2</w:t>
      </w:r>
    </w:p>
    <w:p>
      <w:r>
        <w:t>Die Beschwerdeführenden erheben in ihren Beschwerdeschriften keine Einwände gegen die Ausführungen des BFM betreffend die Unglaubhaftigkeit und mangelnde Relevanz ihrer Asylvorbringen. Aus diesem Grunde und da die vorinstanzliche Beurteilung der Asylvorbringen zu Recht erfolgt ist, erübrigt sich eine diesbezügliche einlässlichere Überprüfung der Verfügungen durch das Bundesverwaltungsgericht. Hinsichtlich der Flüchtlingseigenschaft und des Asyls ist vollumfänglich auf die vor­instanzlichen Erwägungen II zu verweisen, welche zu bestätigen sind.</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(vgl. BVGE 2009/50 E. 9 m.w.H.).</w:t>
      </w:r>
    </w:p>
    <w:p>
      <w:r>
        <w:rPr>
          <w:b/>
        </w:rPr>
        <w:t>E. 7</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 der Geltendmachung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erachtet den Wegweisungsvollzug der Beschwerdeführenden als zulässig, zumutbar und möglich. In diesem Zusammenhang führte sie insbesondere aus, die Sicherheitslage in Kosovo habe sich in den vergangenen Jahren stabilisiert. Indes könne für serbischsprachige Roma wie die Beschwerdeführenden eine konkrete Gefährdung aufgrund ihrer Ethnie ausserhalb der serbischen Enklaven nicht ausgeschlossen werden. Hingegen sei die Rückkehr in den Norden Kosovos für serbischsprachige Roma mit letztem Wohnsitz im Nordkosovo zumutbar.</w:t>
      </w:r>
    </w:p>
    <w:p>
      <w:r>
        <w:rPr>
          <w:b/>
        </w:rPr>
        <w:t>E. 7.2</w:t>
      </w:r>
    </w:p>
    <w:p>
      <w:r>
        <w:t>Der Beschwerdeführer 1 stamme zwar aus F._______ und sei zuletzt in D._______ (beides 13 Kilometer von Pristina entfernt) wohnhaft gewesen. Er sei jedoch ein junger Mann im arbeitsfähigen Alter mit einer elfjährigen Schulbildung und einer abgeschlossenen Lehre als (...), weshalb für ihn eine innerstaatliche Aufenthaltsalternative im Norden Kosovos bestehe. Daneben sei grundsätzlich auch eine zumutbare Aufenthaltsalternative in Serbien vorhanden. Betreffend die Beschwerdeführerinnen 2 und 3 verneinte das BFM die Zumutbarkeit der Inanspruchnahme der innerstaatlichen Aufenthaltsalternative im Norden Kosovos, da diese dort auf kein nachgewiesenes Beziehungsnetz zurückgreifen könnten. Indes erachtete die Vorinstanz einen Vollzug der Wegweisung der Beschwerdeführerinnen 2 und 3 nach Serbien als zumutbar. In diesem Zusammenhang führte sie aus, für serbischsprachige Roma bestehe grundsätzlich eine Aufenthaltsalternative in Serbien. Da Kosovo gemäss serbischer Verfassung von 2006 integrierender Bestandteil Serbiens bilde, würden serbischsprachige Roma aus Kosovo auch nach der Unabhängigkeitserklärung Kosovos als serbische Staatsangehörige betrachtet und könnten auf den diplomatischen Vertretungen Serbiens in der Schweiz serbische Reisepapiere beschaffen sowie nach Serbien einreisen. Das eingereichte Gerichtsurteil vom 15. Oktober 2005 belege, dass die Beschwerdeführerinnen im Jahre 2005 bei der Schwester der Beschwerdeführerin 2 in E._______ wohnhaft gewesen seien. Ihre Aussage, wonach sie seit 1998 beziehungsweise 1999 keinen Kontakt mehr mit ihren nahen Verwandten gehabt hätten und nichts über deren Verbleib wissen würden, werde dadurch unglaubhaft. Es obliege den Beschwerdeführerinnen im Rahmen ihrer Mitwirkungspflicht nach Art. 8 AsylG, ihre Familienverhältnisse offenzulegen. Die Folgen der Beweislosigkeit hätten sie zu tragen und entsprechend sei davon auszugehen, dass die Beschwerdeführerin 2 mit ihrer Schwester in Kontakt stehe und diese sich in Serbien aufhalte, beziehungsweise dass ein Beziehungsnetz in Serbien gewährleistet und die Inanspruchnahme der Aufenthaltsalternative Serbien zumutbar sei.</w:t>
      </w:r>
    </w:p>
    <w:p>
      <w:r>
        <w:rPr>
          <w:b/>
        </w:rPr>
        <w:t>E. 7.3</w:t>
      </w:r>
    </w:p>
    <w:p>
      <w:r>
        <w:t>Dagegen bringen die Beschwerdeführenden vor, das BFM nehme mit seinen Ausführungen zur Zumutbarkeit des Wegweisungsvollzugs ihre Trennung billigend in Kauf, indem es dem Beschwerdeführer 1 die Niederlassung im Norden Kosovos zumute, während es dies für die Beschwerdeführerinnen 2 und 3 nicht tue. Im Übrigen seien sie serbischsprachige Roma aus Kosovo. Das Bundesverwaltungsgericht gehe in seiner Praxis davon aus, dass der Vollzug der Wegweisung albanischsprachiger Roma nach Kosovo in der Regel zumutbar sei, sofern aufgrund einer Einzelfallabklärung, namentlich durch Abklärungen vor Ort, feststehe, dass bestimmte Reintegrationskriterien erfüllt seien. Im Urteil E-1219/2011 vom 12. August 2013 habe das Gericht sodann ausgeführt, dass im Rahmen der Prüfung der Zumutbarkeit des Wegweisungsvollzugs eine Einzelfallabklärung der individuellen Umstände umso mehr auch für serbischsprachige Roma vorgenommen werden müsse. Das BFM habe vorliegend Einzelfallabklärungen unzulässigerweise unterlassen. Im Verfahren des Beschwerdeführers 1 habe es sich zudem mit der Rechtsprechung des Bundesverwaltungsgerichts, insbesondere BVGE 2011/50, wonach der Wegweisungsvollzug in den Nordkosovo für serbischsprachige Muslime nicht generell zumutbar sei, in keiner Weise auseinandergesetzt. Auch mit BVGE 2010/41 habe sich die Vorinstanz nicht befasst. In jenem Urteil werde festgehalten, dass der Wegweisungsvollzug nach Serbien lediglich für aus Kosovo stammende Personen serbischer Ethnie, nicht aber für ethnische Roma, als zumutbar erachtet werde. Sie (die Beschwerdeführenden) hätten ihr ganzes bisheriges Leben auf dem Gebiet der heutigen Republik Kosovo verbracht und bis anhin nicht in Serbien gelebt. Dennoch gehe das BFM ohne weitere Abklärungen von einer grundsätzlichen Aufenthaltsalternative in Nordkosovo und in Serbien aus. Dadurch habe es ihren Anspruch auf rechtliches Gehör verletzt und den Sachverhalt unvollständig abgeklärt, weshalb die angefochtenen Verfügungen zu kassieren und zur erneuten Prüfung an die Vorinstanz zurückzuweisen seien.</w:t>
      </w:r>
    </w:p>
    <w:p>
      <w:r>
        <w:rPr>
          <w:b/>
        </w:rPr>
        <w:t>E. 7.4</w:t>
      </w:r>
    </w:p>
    <w:p>
      <w:r>
        <w:t>In seinen Vernehmlassungen hielt das BFM fest, der Vollzug der Wegweisung nach Serbien sei unter hinreichender Argumentation für alle Beschwerdeführenden als zumutbar erachtet worden. Es stehe ihnen somit frei, sich nicht zu trennen und sich gemeinsam nach Serbien zu begeben.</w:t>
      </w:r>
    </w:p>
    <w:p>
      <w:r>
        <w:rPr>
          <w:b/>
        </w:rPr>
        <w:t>E. 7.5</w:t>
      </w:r>
    </w:p>
    <w:p>
      <w:r>
        <w:t>Die Beschwerdeführenden hielten dem replizierend entgegen, sie hätten noch nie (Beschwerdeführer 1) beziehungsweise noch nie dauerhaft (Beschwerdeführerinnen 2 und 3) auf dem Staatsgebiet des heutigen Serbiens gelebt. Das BFM habe es auch auf Vernehmlassungsebene unterlassen, sich zu den Gründen zu äussern, weshalb es ohne weitere Abklärungen den Vollzug der Wegweisung nach Serbien für zumutbar erachte. Betreffend die Beschwerdeführerinnen 2 und 3 sei festzuhalten, dass sich die Beschwerdeführerin 2 im Jahre 2005 bei ihrer Schwester in E._______ aufgehalten habe, während ihre Tochter einen Monat lang in einem Spital im 30 Kilometer entfernten Belgrad behandelt worden sei. Die Schwester habe keine eigene Wohnung gehabt, sondern bei Bekannten gelebt und Leergut gesammelt, um ihr Überleben zu sichern. Der Kontakt zu ihr sei bereits seit längerer Zeit abgebrochen. Im Übrigen sei erneut auf das Urteil E-1219/2011 vom 12. August 2013 verweisen. In jenem Fall hätten die Beschwerdeführenden einen zehnjährigen Aufenthalt in Serbien geltend gemacht, und das Gericht sei zum Schluss gekommen, angesichts des Aufenthalts in Serbien sei allenfalls anhand einer Botschaftsanfrage abzuklären, ob die Beschwerdeführenden (auch) über die serbische Staatsangehörigkeit verfügen würden. Jedenfalls habe das BFM vorliegend den Sachverhalt im Vollzugspunkt unvollständig abgeklärt.</w:t>
      </w:r>
    </w:p>
    <w:p>
      <w:r>
        <w:rPr>
          <w:b/>
        </w:rPr>
        <w:t>E. 8</w:t>
      </w:r>
    </w:p>
    <w:p>
      <w:r>
        <w:t>Nach Prüfung der Akten kommt das Bundesverwaltungsgericht zum Schluss, dass das BFM den Sachverhalt im Wegweisungsvollzugspunkt unrichtig und unvollständig festgestellt hat.</w:t>
      </w:r>
    </w:p>
    <w:p>
      <w:r>
        <w:rPr>
          <w:b/>
        </w:rPr>
        <w:t>E. 8.1</w:t>
      </w:r>
    </w:p>
    <w:p>
      <w:r>
        <w:t>Gemäss der aktuellen Rechtsprechung des Bundesverwaltungsgerichts ist der Wegweisungsvollzug von albanischsprachigen Roma, Ashkali und "Ägyptern" nach Kosovo in der Regel zumutbar, sofern aufgrund einer Einzelfallabklärung - namentlich durch Untersuchungen vor Ort über die Schweizerische Botschaft - feststeht, dass bestimmte Reintegrationskriterien, wie berufliche Ausbildung, Gesundheitszustand, Alter, ausreichende wirtschaftliche Lebensgrundlage und Beziehungsnetz in Kosovo, erfüllt sind (vgl. BVGE 2007/10 E. 5.4 S. 112 f.; BVGE 2011/50 E. 8.6 S. 1005). Eine Einzelfallabklärung der individuellen Umstände im Rahmen der Zumutbarkeitsprüfung muss erst recht auch für serbischsprachige Roma vorgenommen werden, bildet Serbisch doch eine Minderheitensprache in Kosovo und wird der Vollzug der Wegweisung für serbischsprachige Roma in den Süden Kosovos derzeit generell als unzumutbar erachtet (vgl. die zuletzt ergangenen Urteile des Bundesverwaltungsgerichts E-1219/2011 vom 12. August 2013 E. 6.4.1 sowie D-3123/2012 vom 16. Dezember 2013 E. 8.4.1 m.w.H). Der Vollzug der Wegweisung von aus dem Kosovo stammenden Asylsuchenden nach Serbien wird für Personen serbischer Ethnie - nicht aber für Roma und weitere nicht-serbische Minderheiten - als grundsätzlich zumutbar erachtet, wobei die Chancen zur Sicherung des Existenzminimums, die Anknüpfungspunkte zu Serbien und die dortige voraussichtliche soziale Integration individuell abzuklären sind (vgl. BVGE 2010/41 E. 8.3.3.4 S. 586 und E. 8.3.3.6 S. 588 f.).</w:t>
      </w:r>
    </w:p>
    <w:p>
      <w:r>
        <w:rPr>
          <w:b/>
        </w:rPr>
        <w:t>E. 8.2</w:t>
      </w:r>
    </w:p>
    <w:p>
      <w:r>
        <w:t>Bei den Beschwerdeführenden 1 und 2 handelt es sich gemäss eigenen Angaben um ein Konkubinatspaar, welches bereits im Heimatstaat während beinahe zwei Jahren zusammenlebte und sich gemeinsam um die (...)jährige Beschwerdeführerin 3 kümmert. Dieser Umstand, welcher durch das BFM soweit ersichtlich nicht bestritten wird, ist bei der Prüfung der Voraussetzungen des Wegweisungsvollzugs zwingend zu beachten. Gemäss Art. 44 AsylG ist bei der Anordnung der Wegweisung aus der Schweiz und deren Vollzugs der Grundsatz der Einheit der Familie zu berücksichtigen. Unter den Begriff "Familie" fallen gemäss Art. 1a Bst. e der Asylverordnung 1 vom 11. August 1999 (AsylV 1, SR 142.311) auch die "in dauernder eheähnlicher Gemeinschaft zusammenlebenden Personen" (Konkubinat) (vgl. zum Begriff der Familie auch BVGE 2012/4 E. 3.3.2 S. 31, m.w.H.). Der asylrechtliche Grundsatz der Einheit der Familie verbietet - vorbehältlich besonderer Konstellationen - eine nicht gleichzeitige Wegweisung von Ehe- beziehungsweise Konkubinatspartnern. Insbesondere muss die Zumutbarkeit des Wegweisungsvollzugs auf koordinierte Weise geprüft werden (vgl. die Urteile des Bundesverwaltungsgerichts E-3943/2013 vom 18. Juli 2013 S. 4 f. und D-3976/2012 vom 23. April 2013 S. 4). Dies hat das BFM unterlassen und mithin den rechtserheblichen Sachverhalt unrichtig festgestellt und Bundesrecht verletzt.</w:t>
      </w:r>
    </w:p>
    <w:p>
      <w:r>
        <w:rPr>
          <w:b/>
        </w:rPr>
        <w:t>E. 8.3</w:t>
      </w:r>
    </w:p>
    <w:p>
      <w:r>
        <w:t>Nicht gehört werden kann in diesem Zusammenhang die Argumentation in der Vernehmlassung, wonach für sämtliche Beschwerdeführenden der Vollzug der Wegweisung nach Serbien als zumutbar erachtet werde und es diesen somit freistehe, sich nicht zu trennen und sich gemeinsam in Serbien niederzulassen. Die Beschwerdeführenden sind, wie bereits erwähnt, serbischsprachige ethnische Roma muslimischen Glaubens, stammen aus dem Zentralkosovo (Grossgemeinde Pristina) und haben dort bis zur Ausreise mehrheitlich gelebt, wobei sich in den Akten Anzeichen für einen längeren Aufenthalt der Beschwerdeführerin 2 in Serbien finden (vgl. im Einzelnen die Akten N [...] A5/14 Ziff. 3.04 S. 6 und A9/13 F14 ff. S. 3 und F71 ff. S. 10). Gemäss der zitierten Rechtsprechung kann Roma die Inanspruchnahme einer Aufenthaltsalternative in Serbien jedoch grundsätzlich nicht zugemutet werden. Die Schlussfolgerung der Vorinstanz, die nicht ausführt, aus welchen Gründen im vorliegenden Fall von der Rechtsprechung des Bundesverwaltungsgerichts abzuweichen sei, ist daher nicht haltbar. Das BFM erachtet sodann den Vollzug der Wegweisung des Beschwerdeführers 1 in den Norden Kosovos als zumutbar, ohne eine Abklärung der individuellen Umstände, die er dort antreffen würde, vorzunehmen. Es wird lediglich pauschal darauf verwiesen, dass eine Rückkehr in den Norden Kosovos in der Regel generell als zumutbar zu erachten sei, er arbeitsfähig sei sowie über eine gute Ausbildung verfüge. Eine genaue Abklärung sowie Würdigung hinsichtlich der Erfüllung der Reintegrationskriterien und insbesondere der persönlichen Beziehungen des Beschwerdeführers 1 im Nordkosovo fehlt hingegen gänzlich. Im vorliegenden Verfahren kann aufgrund der Aktenlage, wie sie sich nach der Erstbefragung und der direkten Anhörung darstellt, im Sinne der zitierten Rechtsprechung nicht der Schluss gezogen werden, ein Wegweisungsvollzug in den Nordkosovo oder nach Serbien sei für die Beschwerdeführenden zumutbar. Dem BFM ist vorzuhalten, dass es sich mit der angeführten Rechtsprechung des Bundesverwaltungsgerichts in keiner Weise auseinandergesetzt hat. Folglich erscheint der Verzicht auf zusätz­liche tatbeständliche Abklärungen vor Ort zur Fest­stellung der Zumutbarkeit des Wegweisungsvollzugs als nicht gerechtfertigt. Nach dem Gesagten beruhen die angefochtenen Verfügungen im Wegweisungsvollzugspunkt auf einem unvollständig abgeklärten Sachverhalt.</w:t>
      </w:r>
    </w:p>
    <w:p>
      <w:r>
        <w:rPr>
          <w:b/>
        </w:rPr>
        <w:t>E. 8.4</w:t>
      </w:r>
    </w:p>
    <w:p>
      <w:r>
        <w:t>Zusammenfassend hat das BFM mit dem Erlass der angefochtenen Verfügungen den rechtserheblichen Sachverhalt im Wegweisungsvollzugspunkt unrichtig und unvollständig festgestellt und Bundesrecht verletzt. Aus diesem Grunde erweist es sich als angezeigt, die angefochtenen Verfügungen teilweise - betreffend die Dispositivziffern 4 und 5 - aufzuheben und die Sache zur korrekten Feststellung des Sachverhalts, allenfalls unter Vornahme der erforderlichen Abklärungen, und zu neuem Entscheid an die Vorinstanz zurückzuweisen. Die Beschwerden sind mithin im Wegweisungsvollzugspunkt gutzuheissen. Im Übrigen sind sie nach dem oben Gesagten abzuweisen.</w:t>
      </w:r>
    </w:p>
    <w:p>
      <w:r>
        <w:rPr>
          <w:b/>
        </w:rPr>
        <w:t>E. 9.1</w:t>
      </w:r>
    </w:p>
    <w:p>
      <w:r>
        <w:t>Bei diesem Ausgang des Verfahrens wären den Beschwerdeführenden reduzierte Verfahrenskosten aufzuerlegen (Art. 63 Abs. 1 und 5 VwVG). Auf deren Erhebung ist jedoch in Anbetracht der mit Verfügung vom 31. Oktober 2013 gewährten unentgeltlichen Prozessführung nach Art. 65 Abs. 1 VwVG zu verzichten.</w:t>
      </w:r>
    </w:p>
    <w:p>
      <w:r>
        <w:rPr>
          <w:b/>
        </w:rPr>
        <w:t>E. 9.2</w:t>
      </w:r>
    </w:p>
    <w:p>
      <w:r>
        <w:t>Angesichts des hälftigen Obsiegens ist die Vorinstanz anzuweisen, den Beschwerdeführenden eine reduzierte Parteientschädigung auszurichten (Art. 64 Abs. 1 und 2 VwVG; Art. 7 Abs. 2 des Reglements vom 21. Februar 2008 über die Kosten und Entschädigungen vor dem Bundesverwaltungsgericht [VGKE, SR 173.320.2]). Die am 2. Dezember 2013 zu den Akten gereichten Kostennoten erscheinen als angemessen. Den Beschwerdeführenden ist daher zu Lasten der Vorinstanz eine um die Hälfte gekürzte Parteientschädigung von insgesamt Fr. 680.-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