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E-6123/2012 vom 19. September 2013</w:t>
      </w:r>
    </w:p>
    <w:p>
      <w:r>
        <w:t>Bundesverwaltungsgericht, 2013-09-19, DE</w:t>
      </w:r>
    </w:p>
    <w:p>
      <w:r>
        <w:rPr>
          <w:b/>
        </w:rPr>
        <w:t xml:space="preserve">Quelle: </w:t>
      </w:r>
      <w:r>
        <w:t>https://mcp.opencaselaw.ch/entscheid/bvger_E-6123_2012</w:t>
      </w:r>
    </w:p>
    <w:p>
      <w:r>
        <w:t>FR: TAF E-6123/2012 du 19 septembre 2013</w:t>
      </w:r>
    </w:p>
    <w:p>
      <w:r>
        <w:t>IT: TAF E-6123/2012 del 19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insoweit einzutreten.</w:t>
      </w:r>
    </w:p>
    <w:p>
      <w:r>
        <w:rPr>
          <w:b/>
        </w:rPr>
        <w:t>E. 1.2</w:t>
      </w:r>
    </w:p>
    <w:p>
      <w:r>
        <w:t>Soweit der Beschwerdeführer beantragt, für das ausländerrechtliche Bewilligungsverfahren einen Kantonswechsel anzuordnen, nimmt er eine unzulässige Erweiterung des Streitgegenstandes vor. Die Kantonszuweisung ist nicht Gegenstand der hier angefochtenen Verfügung. Insoweit ist auf die Beschwerde nicht einzutreten (vgl. BVGE 2010/12 E. 1.2.1).</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Die Anforderungen an das Glaubhaftmachen hat das Bundesverwaltungsgericht in einem jüngeren Entscheid dargelegt und folgt dabei ständiger Praxis. Darauf kann hier verwiesen werden (vgl. BVGE 2010/57 E. 2.2 und 2.3).</w:t>
      </w:r>
    </w:p>
    <w:p>
      <w:r>
        <w:rPr>
          <w:b/>
        </w:rPr>
        <w:t>E. 4.1</w:t>
      </w:r>
    </w:p>
    <w:p>
      <w:r>
        <w:t>Die Vorinstanz gelangt in der angefochten Verfügung zum Schluss, die Vorbringen des Beschwerdeführers hielten den Anforderungen an das Glaubhaftmachen gemäss Art. 7 AsylG nicht stand. Trotz mehrfachen Nachfragens habe er in der Anhörung widersprüchliche Angaben zur letzten Festnahme, die er als Fluchtgrund anführt, gemacht. Ausserdem habe er zu Protokoll gegeben, dass er seit 2012 nicht mehr in Haft gewesen sei (BFM-Akten, A13/13 S. 9-11). Diese Aussage stehe im krassen Widerspruch zur Aussage in der persönlichen Befragung, wo er geltend gemacht habe, er sei einmal im März, einmal im Mai 2012 festgenommen worden (BFM-Akten, A6/11 S. 7). In einem weiteren, zentralen Punkt habe er widersprüchlich ausgesagt. Während er in der persönlichen Befragung vom 13. August 2012 vorbringe, dass kein Verfahren gegen ihn hängig sei (BFM-Akten A6/11 S. 7), führe er später aus, dass ein solches seit Mitte 2011 laufe (BFM-Akten, act. 13/13 S. 7). Ferner will er im Juli 2012, mithin kurz vor seiner Ausreise, einen Suchbefehl erhalten haben (BFM-Akten, A6/11 S. 7), eine Aussage, die den späteren Aussagen dazu völlig widerspreche, denn dort habe er lediglich von einem Haftbefehl aus dem Jahr 2010 oder 2011 gesprochen (BFM-Akten, A13/13 S. 7). Sodann sei der Beschwerdeführer nicht imstande, auch nur die rudimentärsten Details zur behaupteten Gerichtsverhandlung vom 13. Juni 2011 zu nennen. Das sei erstaunlich, weil er immer noch Kontakt zu seinem Vater habe. Und es erstaune noch mehr, wenn man es im Lichte der vom Beschwerdeführer behaupteten politischen Aktivitäten betrachte. Ausserdem habe er zahlreiche Beweismittel zwar in Aussicht gestellt, diese aber immerzu anderes und widersprüchlich beschrieben. Schliesslich hält die Vorinstanz fest, die zwei behaupteten Verhöre, die auf die Jahre 2005 und 2008 zurückgingen, seien nicht asylrelevant. Sie lägen Jahre zurück. Es würden in keinem zeitlichen und inhaltlichen Kausalzusammenhang mit der im Juli 2012 erfolgten Ausreise stehen. Der Beschwerdeführer sei zudem nach seinem Aufenthalt in Italien wieder in die Türkei zurückgekehrt.</w:t>
      </w:r>
    </w:p>
    <w:p>
      <w:r>
        <w:rPr>
          <w:b/>
        </w:rPr>
        <w:t>E. 4.2</w:t>
      </w:r>
    </w:p>
    <w:p>
      <w:r>
        <w:t>Der Beschwerdeführer behauptet weiterhin, dass ein Haftbefehl gegen ihn vorliege und am 13. Juni 2011 eine Anhörung stattgefunden habe, zu welcher er nicht erschienen sei, ohne seine Behauptungen näher zu begründen (Beschwerde, S. 3). Beweismittel hat er keine eingereicht. Mit der vorinstanzlichen Beweiswürdigung setzt er sich nicht ansatzweise auseinander und zeigt nicht auf, inwiefern diese Bundesrecht verletzen oder zu einer fehlerhaften Sachverhaltsfeststellung führen soll. Solches ist auch nicht ersichtlich. Die Beweiswürdigung ist sehr einlässlich und sorgfältig. Die Vorinstanz hat dabei den Massstab des Glaubhaftmachens nicht verkannt und ihn auf den vorliegenden Fall korrekt angewendet. Um unnötige Wiederholungen zu vermeiden, kann auf die Erwägungen in der angefochtenen Verfügung verwiesen werden.</w:t>
      </w:r>
    </w:p>
    <w:p>
      <w:r>
        <w:rPr>
          <w:b/>
        </w:rPr>
        <w:t>E. 4.3</w:t>
      </w:r>
    </w:p>
    <w:p>
      <w:r>
        <w:t>Die Schlussfolgerung der Vorinstanz in rechtlicher Hinsicht, zwischen den behaupteten Fluchtgründen aus den Jahren 2005 bis 2008 und der Ausreise fehle es am Kausalzusammenhang, ist ebenfalls nicht zu beanstanden. Dass kein unmittelbarer zeitlicher Kausalzusammenhang besteht, wird denn auch vom Beschwerdeführer nicht in Abrede gestellt (Beschwerde, S. 4.). Er ist kein Flüchtling. Sein Asylgesuch wurde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6.1</w:t>
      </w:r>
    </w:p>
    <w:p>
      <w:r>
        <w:t>Der Vollzug der Wegweisung ist nach Art. 83 Abs. 3 des Bundesgesetzes vom 16. Dezember 2005 über die Ausländerinnen und Ausländer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die Türkei dort mit beachtlicher Wahrscheinlichkeit einer nach Art. 3 EMRK oder Art. 1 FoK verbotenen Strafe oder Behandlung ausgesetzt wäre. Das in Art. 8 EMRK verankerte Recht auf Achtung des Privat- und Familienlebens bedeutet nicht, dass der Wegweisungsvollzug unzulässig wäre. Die Norm verschafft praxisgemäss keinen Anspruch auf Einreise und Aufenthalt oder auf einen besonderen Aufenthaltstitel (BGE 138 I 246 E. 3.2.1 S. 250 m.H.). Sodann fehlen Hinweise, dass es sich bereits um ein schützenswertes, gelebtes Familienleben im Sinn von Art. 8 EMRK handelt. Der Beschwerdeführer behauptet zwar, die Eheschliessung würde unmittelbar bevorstehen. Tatsache aber ist, dass er im Februar 2013 aufgefordert wurde, einen Pass und eine entsprechende Wohnsitzbestätigung seiner Verlobten einzureichen. Seither hat das Zivilstandsamt nichts mehr von ihm gehört. Ungeachtet des konkreten Verfahrenstandes steht es dem Beschwerdeführer offen, seine allfälligen Bemühungen vom Ausland aus fortzusetzen. Ein Ehevorbereitungsverfahren in der Schweiz ist grundsätzlich auch dann möglich, wenn die Brautleute nicht in der Schweiz wohnhaft sind (vgl. Art. 62 ff. der Zivilstandsverordnung vom 28. April 2004 [ZstV, SR 211.112.2]; vgl. auch 17 AuG und dazu BGE 139 I 37). Der Vollzug der Wegweisung ist somit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der Türkei herrscht keine Situation allgemeiner Gewalt, weshalb von der generellen Zumutbarkeit des Wegweisungsvollzugs dorthin ausgegangen wird. Konkrete Anhaltspunkte dafür, dass der Beschwerdeführer bei einer Rückkehr einer Gefährdungssituation ausgesetzt wäre oder aus individuellen Gründen wirtschaftlicher, sozialer oder gesundheitlicher Natur in eine existenzbedrohende Situation geraten würde, liegen keine vor. Der Vollzug der Wegweisung erweist sich auch als zumutbar.</w:t>
      </w:r>
    </w:p>
    <w:p>
      <w:r>
        <w:rPr>
          <w:b/>
        </w:rPr>
        <w:t>E. 6.3</w:t>
      </w:r>
    </w:p>
    <w:p>
      <w:r>
        <w:t>Der Vollzug der Wegweisung ist schliesslich nach Art. 83 Abs. 2 AuG als möglich zu bezeichnen, weil es dem Beschwerdeführer obliegt, sich bei der zuständigen Vertretung des Heimatstaates die für eine Rückkehr notwendigen Reisedokumente zu beschaffen (vgl. Art. 8 Abs. 4 AsylG und dazu BVGE 2008/34 E. 12 S. 513 - 515).</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die Begehren als aussichtslos zu gelten haben. Damit ist eine der kumulativ zu erfüllenden Voraussetzungen nicht gegeben, weshalb dem Gesuch nicht stattzugeben ist.</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