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E-6111/2013 vom 7. November 2013</w:t>
      </w:r>
    </w:p>
    <w:p>
      <w:r>
        <w:t>Bundesverwaltungsgericht, 2013-11-07, DE</w:t>
      </w:r>
    </w:p>
    <w:p>
      <w:r>
        <w:rPr>
          <w:b/>
        </w:rPr>
        <w:t xml:space="preserve">Quelle: </w:t>
      </w:r>
      <w:r>
        <w:t>https://mcp.opencaselaw.ch/entscheid/bvger_E-6111_2013</w:t>
      </w:r>
    </w:p>
    <w:p>
      <w:r>
        <w:t>FR: TAF E-6111/2013 du 7 novembre 2013</w:t>
      </w:r>
    </w:p>
    <w:p>
      <w:r>
        <w:t>IT: TAF E-6111/2013 del 7 novembre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AsylG). Der Beschwerdeführer ist als Verfügungsadressat zur Beschwerdeführung legitimiert (Art. 48 VwVG).</w:t>
      </w:r>
    </w:p>
    <w:p>
      <w:r>
        <w:rPr>
          <w:b/>
        </w:rPr>
        <w:t>E. 1.2</w:t>
      </w:r>
    </w:p>
    <w:p>
      <w:r>
        <w:t>Zwar entspricht die Eingabe vom 28. Oktober 2013 nicht in allen Teilen den Anforderungen an eine rechtsgenügliche Beschwerde, aber es ist offensichtlich, dass der Beschwerdeführer darum ersucht, den vorinstanzlichen Entscheid zu überprüfen. Auch rechtfertigt es sich in Anbetracht der Praxis der vormaligen Schweizerischen Asylrekurskommission (ARK), welche Eingaben auch ohne eigentliche Unterschrift als genügend akzeptierte, sofern diese nach den Umständen einem individuellen Beschwerdeführer klar zugeordnet werden konnten (vgl. Entscheidungen und Mitteilungen der Schweizerischen Asylrekurskommission [EMARK] 2003 Nr. 16), und angesichts des Umstands, dass vorliegend die Personalien des Beschwerdeführers sowie die Verfahrensnummer des BFM in der Eingabe aufgeführt sind und der Beschwerdeführer auf dem Zustellcouvert der Eingabe Namen und Adresse handschriftlich aufgeführt hat, auf die Ansetzung einer Verbesserungsfrist zu verzichten. Da es sich um eine sogenannte Laienbeschwerde handelt, an die keine hohen formellen Anforderungen zu stellen sind, ist zugunsten des Beschwerdeführers auf die frist- und insoweit formgerecht eingereichte Beschwerde einzutreten (Art. 108 Abs. 2 AsylG, Art. 52 VwVG).</w:t>
      </w:r>
    </w:p>
    <w:p>
      <w:r>
        <w:rPr>
          <w:b/>
        </w:rPr>
        <w:t>E. 1.3</w:t>
      </w:r>
    </w:p>
    <w:p>
      <w:r>
        <w:t>Das Verfahren richtet sich nach dem VwVG, dem VGG und dem BGG, soweit das AsylG nichts anderes bestimmt (Art. 37 VGG und Art. 6 AsylG).</w:t>
      </w:r>
    </w:p>
    <w:p>
      <w:r>
        <w:rPr>
          <w:b/>
        </w:rPr>
        <w:t>E. 2</w:t>
      </w:r>
    </w:p>
    <w:p>
      <w:r>
        <w:t>Das Bundesverwaltungsgericht überprüft die angefochtene Verfügung auf Verletzung von Bundesrecht, unrichtige oder unvollständige Feststellung des rechtserheblichen Sachverhalts und Unangemessenheit hin (Art. 106 Abs. 1 AsylG).</w:t>
      </w:r>
    </w:p>
    <w:p>
      <w:r>
        <w:rPr>
          <w:b/>
        </w:rPr>
        <w:t>E. 3.1</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Abs. 2 AsylG).</w:t>
      </w:r>
    </w:p>
    <w:p>
      <w:r>
        <w:rPr>
          <w:b/>
        </w:rPr>
        <w:t>E. 3.2</w:t>
      </w:r>
    </w:p>
    <w:p>
      <w:r>
        <w:t>Bei Beschwerden gegen Nichteintretensentscheide, mit denen es das BFM ablehnt, das Asylgesuch auf seine Begründetheit zu überprüfen (Art. 32-35 AsylG), ist die Beurteilungskompetenz der Beschwerdeinstanz grundsätzlich auf die Frage beschränkt, ob die Vorinstanz zu Recht auf das Asylgesuch nicht eingetreten ist (vgl. BVGE 2011/9 E. 5 S. 116). Die Beschwerdeinstanz enthält sich demnach - sofern sie den Nichteintretensentscheid als unrechtmässig erachtet - einer selbstständigen materiellen Prüfung, hebt die angefochtene Verfügung auf und weist die Sache zu neuer Entscheidung an die Vorinstanz zurück (vgl. BVGE 2007/8 E. 2.1 S. 73, m.H.a.; EMARK 2004 Nr. 34 E. 2.1. S. 240 f.). Bezüglich der Wegweisung und des Vollzuges ist die Beurteilungskompetenz nicht beschränkt, da die Vorinstanz dies materiell geprüft hat.</w:t>
      </w:r>
    </w:p>
    <w:p>
      <w:r>
        <w:rPr>
          <w:b/>
        </w:rPr>
        <w:t>E. 4.1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4.2</w:t>
      </w:r>
    </w:p>
    <w:p>
      <w:r>
        <w:t>Mit der Umsetzung des Dublin-Assoziierungsabkommen verpflichtet sich die Schweiz, die Dublin-II-VO anzuwenden. Diese enthält die Kriterien, um denjenigen Dublin-Staat zu bestimmen, der zuständig ist, ein Asyl- und Wegweisungsverfahren durchzuführen.</w:t>
      </w:r>
    </w:p>
    <w:p>
      <w:r>
        <w:rPr>
          <w:b/>
        </w:rPr>
        <w:t>E. 4.3</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EMRK und Art. 3 des Übereinkommens vom 10. Dezember 1984 gegen Folter und andere grausame, unmenschliche oder erniedrigende Behandlung oder Strafe (FoK, SR 0.105).</w:t>
      </w:r>
    </w:p>
    <w:p>
      <w:r>
        <w:rPr>
          <w:b/>
        </w:rPr>
        <w:t>E. 4.4</w:t>
      </w:r>
    </w:p>
    <w:p>
      <w:r>
        <w:t>Für den Fall, dass ein Asylbewerber das Hoheitsgebiet der Mitgliedstaaten nicht verlassen hat und ein Visum besitzt, aufgrund dessen er in das Hoheitsgebiet eines Mitgliedstaates einreisen konnte und das seit weniger als sechs Monaten abgelaufen ist, verweist Art. 9 Abs. 4 Dublin-II-VO auf die Anwendbarkeit von Absatz 2 des besagten Artikels. Danach ist der Mitgliedstaat für die Prüfung des Asylantrages zuständig, der das Visum erteilt hat, es sei denn, das Visum sei in Vertretung oder mit schriftlicher Zustimmung eines anderen Mitgliedstaates erteilt worden; in diesem Fall ist der letztgenannte Mitgliedstaat für die Prüfung des Asylantrages zuständig (vgl. Art. 9 Abs. 2 Satz 1 und 2 Dublin-II-VO).</w:t>
      </w:r>
    </w:p>
    <w:p>
      <w:r>
        <w:rPr>
          <w:b/>
        </w:rPr>
        <w:t>E. 4.5</w:t>
      </w:r>
    </w:p>
    <w:p>
      <w:r>
        <w:t>Aufgrund des Abgleichs mit dem zentralen Visa-Informationssystem (CS-VIS) und der Aussagen des Beschwerdeführers steht fest, dass dieser über ein Schengenvisum, gültig vom 15. Februar 2013 bis am 13. August 2013, verfügt, welches ihm von der Maltesischen Botschaft in Tripolis am (...) ausgestellt wurde und mit dem er nach Malta einreisen konnte. Das BFM ersuchte daher am 12. September 2013 in Anwendung von Art. 9 Abs. 3 und 4 Dublin-II-Verordnung zu Recht die maltesischen Behörden um Aufnahme des Beschwerdeführers. Die Anfrage erfolgte fristgerecht (vgl. Art. 17 Abs. 1 Dublin-II-VO). Nachdem die maltesischen Behörden am 7. Oktober 2013 - und damit innerhalb der in Art. 18 Abs. 1 Dublin-II-VO vorgesehenen Frist - einer Aufnahme des Beschwerdeführers zustimmten, hat das Bundesamt in der angefochtenen Verfügung zu Recht Malta als für die Durchführung des Asylverfahrens zuständig erachtet.</w:t>
      </w:r>
    </w:p>
    <w:p>
      <w:r>
        <w:rPr>
          <w:b/>
        </w:rPr>
        <w:t>E. 4.6</w:t>
      </w:r>
    </w:p>
    <w:p>
      <w:r>
        <w:t>Das Bundesamt hat im Weiteren zutreffend aufgezeigt, weshalb der vom Beschwerdeführer vorgebrachte, nicht weiter substanziierte Einwand, wonach es in Malta viele Libyer gebe, und er sich dort während eines Asylverfahrens nur unter andauerndem Polizeischutz aufhalten könnte, weil er sonst von seinen lybischen Landsleuten angegriffen würde, an der Zuständigkeit Maltas nichts zu ändern vermag.</w:t>
      </w:r>
    </w:p>
    <w:p>
      <w:r>
        <w:rPr>
          <w:b/>
        </w:rPr>
        <w:t>E. 5.1</w:t>
      </w:r>
    </w:p>
    <w:p>
      <w:r>
        <w:t>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w:t>
      </w:r>
    </w:p>
    <w:p>
      <w:r>
        <w:rPr>
          <w:b/>
        </w:rPr>
        <w:t>E. 5.2</w:t>
      </w:r>
    </w:p>
    <w:p>
      <w:r>
        <w:t>Gemäss der Rechtsprechung des Bundesverwaltungsgerichts kann die Vermutung, Malta beachte die den betroffenen Personen im Gemeinsamen Europäischen Asylsystem zustehenden Grundrechte in angemessener Weise, nicht ohne weiteres aufrechterhalten werden. Dies bedeutet jedoch nicht, dass die festgestellten Mängel in Malta für Asylsuchende generell die Gefahr einer unmenschlichen oder erniedrigenden Behandlung mit sich bringen. Allerdings ist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(vgl. BVGE 2012/27 E. 7.4).</w:t>
      </w:r>
    </w:p>
    <w:p>
      <w:r>
        <w:rPr>
          <w:b/>
        </w:rPr>
        <w:t>E. 5.3</w:t>
      </w:r>
    </w:p>
    <w:p>
      <w:r>
        <w:t>Der Beschwerdeführer brachte keine Gründe vor, die zur Annahme führen müssten, es handle sich bei ihm um einen Angehörigen einer verletzlichen Gruppe mit besonders ausgeprägten Betreuungsbedürfnissen. Entsprechende Hinweise darauf und auf die daraus allenfalls erwachsenden Risiken einer Überstellung nach Malta ergeben sich auch nicht aus den Akten. Es ist vielmehr davon auszugehen, dass es sich beim Beschwerdeführer um einen jungen und offensichtlich gesunden Mann ohne familiäre Verpflichtungen handelt. Dieser dürfte zudem aufgrund seines Schengen-Visums, welches ihm von der Maltesischen Botschaft in Tripolis am (...) ausgestellt wurde, nicht von vornherein als "verbotener" Migrant gemäss maltesischem Recht gelten.</w:t>
      </w:r>
    </w:p>
    <w:p>
      <w:r>
        <w:rPr>
          <w:b/>
        </w:rPr>
        <w:t>E. 5.4</w:t>
      </w:r>
    </w:p>
    <w:p>
      <w:r>
        <w:t>Darüber hinaus bringt der Beschwerdeführer nichts vor, was das BFM hätte veranlassen können, aus humanitären Gründen (Art. 29a Abs. 3 der Asylverordnung 1 vom 11. August 1999 über Verfahrensfragen [AsylV 1, SR 142.311]) auf das Asylgesuch einzutreten, und auch sonst sind keine Gründe ersichtlich, die eine Wegweisung aus humanitärer Sicht als unangemessen erscheinen lassen (vgl. BVGE 2011/9).</w:t>
      </w:r>
    </w:p>
    <w:p>
      <w:r>
        <w:rPr>
          <w:b/>
        </w:rPr>
        <w:t>E. 5.5</w:t>
      </w:r>
    </w:p>
    <w:p>
      <w:r>
        <w:t>Zusammenfassend ist festzustellen, dass einer Überstellung des Beschwerdeführers nach Malta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w:t>
      </w:r>
    </w:p>
    <w:p>
      <w:r>
        <w:rPr>
          <w:b/>
        </w:rPr>
        <w:t>E. 6.1</w:t>
      </w:r>
    </w:p>
    <w:p>
      <w:r>
        <w:t>Gemäss Art. 44 Abs. 1 AsylG verfügt das Bundesamt,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w:t>
      </w:r>
    </w:p>
    <w:p>
      <w:r>
        <w:rPr>
          <w:b/>
        </w:rPr>
        <w:t>E. 6.2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demnach den Vollzug der Wegweisung nach Malta zu Recht als zulässig, zumutbar und möglich bezeichnet.</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