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E-6110/2020 vom 17. Dezember 2020</w:t>
      </w:r>
    </w:p>
    <w:p>
      <w:r>
        <w:t>Bundesverwaltungsgericht, 2020-12-17, DE</w:t>
      </w:r>
    </w:p>
    <w:p>
      <w:r>
        <w:rPr>
          <w:b/>
        </w:rPr>
        <w:t xml:space="preserve">Quelle: </w:t>
      </w:r>
      <w:r>
        <w:t>https://mcp.opencaselaw.ch/entscheid/bvger_E-6110_2020</w:t>
      </w:r>
    </w:p>
    <w:p>
      <w:r>
        <w:t>FR: TAF E-6110/2020 du 17 décembre 2020</w:t>
      </w:r>
    </w:p>
    <w:p>
      <w:r>
        <w:t>IT: TAF E-6110/2020 del 17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legitimiert; auf seine frist- und formgerecht eingereichte Beschwerde ist einzutreten (Art. 105 und 108 Abs. 1 AsylG; Art. 37 VGG i.V.m. Art. 48 Abs. 1 und Art. 52 Abs. 1 VwVG).</w:t>
      </w:r>
    </w:p>
    <w:p>
      <w:r>
        <w:rPr>
          <w:b/>
        </w:rPr>
        <w:t>E. 2.1</w:t>
      </w:r>
    </w:p>
    <w:p>
      <w:r>
        <w:t>Die Kognition des Bundesverwaltungsgerichts und die zulässigen Rügen richten sich nach Art. 106 Abs. 1 AsylG.</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gesuchstellende Person ihrer Begründungspflicht nicht nach, die Behörde gemäss Art. 111b Abs. 2 AsylG in Verbindung mit Art. 13 Abs. 2 VwVG die Möglichkeit hat, auf das Gesuch nicht einzutreten (BVGE 2014/39 E. 7).</w:t>
      </w:r>
    </w:p>
    <w:p>
      <w:r>
        <w:rPr>
          <w:b/>
        </w:rPr>
        <w:t>E. 3.2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3.4</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4.1</w:t>
      </w:r>
    </w:p>
    <w:p>
      <w:r>
        <w:t>Das mit «Mehrfachgesuch/Wiedererwägung» bezeichnete Gesuch vom 12. November 2020 wurde vom Beschwerdeführer damit begründet, er sei verdächtigt worden, die LTTE zu unterstützen, was er im abgeschlossenen Asylverfahren nicht habe glaubhaft machen können. Die Polizei habe ihn in der Zwischenzeit mehrfach vergeblich zuhause aufgesucht und seiner Ehefrau zwei Haftbefehle im Original übergeben. Diese beiden Haftbefehle seien ihm nun endlich per Post zugestellt werden. Das habe «Corona-bedingt» sehr lange gedauert. Er habe Angst, bei einer Rückkehr im Flughafen sofort verhaftet zu werden.</w:t>
      </w:r>
    </w:p>
    <w:p>
      <w:r>
        <w:rPr>
          <w:b/>
        </w:rPr>
        <w:t>E. 4.2</w:t>
      </w:r>
    </w:p>
    <w:p>
      <w:r>
        <w:t>Das SEM hat dieses Gesuch unter dem Titel der Wiedererwägung behandelt (entsprechend der Variante wie oben in E. 3.4). Diese verfahrenstechnische Einordnung ist zutreffend. Im Weiteren ist es, wie sich aus nachfolgenden Erwägungen ergibt, zu Recht auf dieses nicht eingetreten.</w:t>
      </w:r>
    </w:p>
    <w:p>
      <w:r>
        <w:rPr>
          <w:b/>
        </w:rPr>
        <w:t>E. 4.3</w:t>
      </w:r>
    </w:p>
    <w:p>
      <w:r>
        <w:t>Zum einen ist mit dem SEM festzuhalten, dass den eingereichten sri-lankischen Haftbefehlen, auch wenn im Original eingereicht, ein sehr geringer Beweiskraft zukommt, da diese keine fälschungssicheren Merkmale aufweisen. Im vorliegenden Fall kommt erschwerend hinzu, dass gewisse formelle Erfordernisse vom entsprechenden Vergleichsmaterial des SEM offensichtlich abweichen (Stempel, Sprache, Haftgrund). Zum anderen legte der Beschwerdeführer in seinem Gesuch nicht näher dar, weshalb er nach vier Jahren nach seiner Ausreise auf einmal von der Polizei gesucht und zur Beteiligung an einem Gerichtsprozess aufgefordert worden sein sollte. Im Weiteren fällt auf, dass die Ausstellung der Haftbefehle unmittelbar nach Eröffnung des ergangenen Beschwerdeentscheides des Bundesverwaltungsgerichts erfolgte, weshalb aufgrund der als nicht glaubhaft erachteten vorbestandenen Asylgründe weitere Zweifel an den damit verbundenen (neuen) Vorbringen aufkommen. Aus diesen Gründen steht fest, dass der Beschwerdeführer durch die blosse Einreichung der genannten Haftbefehle ohne weitere stichhaltige Angaben seiner Begründungspflicht nicht gehörig nachgekommen ist. Auch auf Beschwerdeebene enthält sich der Beschwerdeführer einer näheren Begründung seines Gesuches. Er macht vielmehr lediglich lapidar geltend, «beim Haftbefehl handle es sich um ein Original, weshalb es nicht gefälscht sein könne». Somit ist das SEM bereits aus diesem Grund zu Recht auf das Wiedererwägungsgesuch nicht eingetreten.</w:t>
      </w:r>
    </w:p>
    <w:p>
      <w:r>
        <w:rPr>
          <w:b/>
        </w:rPr>
        <w:t>E. 4.4</w:t>
      </w:r>
    </w:p>
    <w:p>
      <w:r>
        <w:t>Gleichzeitig ist festzuhalten, dass erhebliche Zweifel an der Einhaltung der gesetzlich vorgesehenen Frist (30 Tage nach Entdeckung des Wiedererwägungsgrundes) zur Einreichung eines Wiederwägungsgesuches bestehen. Zum einen gab der Beschwerdeführer bei der Einreichung der Beweismittel am 12. November 2020 nicht an, wann er diese erhalten habe. Auf dem beigelegten Umschlag ist lediglich das Stempeldatum vom 9. Oktober 2020 festgehalten, mit dem der Beschwerdeführer offensichtlich dartun will, wie ihm die angeblichen Haftbefehle postalisch zugestellt worden seien. Die Vermutung liegt daher nahe, dass er mit der am 12. November 2020 erfolgten Einreichung der mit Mai beziehungsweise Juli 2020 datierten Haftbefehle die dreissigtägige Frist nach Feststellung des Wiedererwägungsgrundes verpasst hat. Bezüglich des Haftbefehls vom 14. Mai 2020 ist dies gar als erwiesen zu erachten. In der Beschwerde gab der Beschwerdeführer nämlich an, «er habe dieses Dokument nicht gleich nach dessen Erhalt im Mai 2020 einreichen können», womit er unmissverständlich zugesteht, den auf den 14. Mai 2020 datierten Haftbefehl bereits im Mai 2020 erhalten zu haben. Somit steht fest, dass er mit dessen Einreichung am 12. November 2020 nicht fristgerecht handelte. Die Erklärung, wonach er wegen Corona nicht gewagt habe, das Heim zu verlassen, kann nicht als entschuldbarer Grund gelten.</w:t>
      </w:r>
    </w:p>
    <w:p>
      <w:r>
        <w:rPr>
          <w:b/>
        </w:rPr>
        <w:t>E. 4.5</w:t>
      </w:r>
    </w:p>
    <w:p>
      <w:r>
        <w:t>Zusammenfassend ist festzustellen, dass die Voraussetzungen zum Eintreten auf das Wiedererwägungsgesuch vorliegend aus mehreren Gründen klar nicht erfüllt waren, weshalb das SEM zu Recht gestützt auf Ar. 111b Abs. 2 AsylG in Verbindung mit Art. 13 Abs. 2 VwVG auf dieses nicht eintrat. Die Beschwerde ist abzuweisen.</w:t>
      </w:r>
    </w:p>
    <w:p>
      <w:r>
        <w:rPr>
          <w:b/>
        </w:rPr>
        <w:t>E. 5</w:t>
      </w:r>
    </w:p>
    <w:p>
      <w:r>
        <w:t>Aufgrund der Aussichtslosigkeit der Rechtsbegehren sind die Gesuche um Gewährung der unentgeltlichen Prozessführung und der amtlichen Verbeiständung abzuweisen. Bei diesem Ausgang des Verfahrens sind die Kosten im Umfang von Fr. 750.-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