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E-6110/2017 vom 16. November 2017</w:t>
      </w:r>
    </w:p>
    <w:p>
      <w:r>
        <w:t>Bundesverwaltungsgericht, 2017-11-16, DE</w:t>
      </w:r>
    </w:p>
    <w:p>
      <w:r>
        <w:rPr>
          <w:b/>
        </w:rPr>
        <w:t xml:space="preserve">Quelle: </w:t>
      </w:r>
      <w:r>
        <w:t>https://mcp.opencaselaw.ch/entscheid/bvger_E-6110_2017</w:t>
      </w:r>
    </w:p>
    <w:p>
      <w:r>
        <w:t>FR: TAF E-6110/2017 du 16 novembre 2017</w:t>
      </w:r>
    </w:p>
    <w:p>
      <w:r>
        <w:t>IT: TAF E-6110/2017 del 16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form- und fristgerecht eingereichte Beschwerde ist einzutreten (Art. 108 Abs. 1 VwVG und Art. 52 Abs. 1 VwVG).</w:t>
      </w:r>
    </w:p>
    <w:p>
      <w:r>
        <w:rPr>
          <w:b/>
        </w:rPr>
        <w:t>E. 1.2</w:t>
      </w:r>
    </w:p>
    <w:p>
      <w:r>
        <w:t>Auf den Antrag des Beschwerdeführers, der Beschwerde sei die aufschiebende Wirkung zu erteilen, ist nicht weiter einzugehen, da der Beschwerde von Gesetzes wegen aufschiebende Wirkung zukommt und die Vorinstanz diese nicht entzogen hat (Art. 42 AsylG).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w:t>
      </w:r>
    </w:p>
    <w:p>
      <w:r>
        <w:t>In der Beschwerde werden verschiedene formelle Rügen erhoben, welche vorab zu beurteilen sind, da sie allenfalls geeignet wären, eine Kassation der vorinstanzlichen Verfügung zu bewirken.</w:t>
      </w:r>
    </w:p>
    <w:p>
      <w:r>
        <w:rPr>
          <w:b/>
        </w:rPr>
        <w:t>E. 4.1</w:t>
      </w:r>
    </w:p>
    <w:p>
      <w:r>
        <w:t>Der Beschwerdeführer bringt vor, die Vorinstanz habe ihn aufgefordert, bis zum 15. September 2017 weitere Beweismittel zu seinen Asylvorbringen einzureichen. Seine Rechtsvertretung habe innert Frist ein begründetes Gesuch um Fristerstreckung bei der Vorinstanz eingereicht. Ohne dieses Fristerstreckungsgesuch zu behandeln, habe die Vorinstanz der Rechtsvertretung am 27. September 2017 den negativen Asylentscheid zugestellt. Als Folge davon sei ihm die Einreichung ergänzender Beweismittel sowie einer schriftlichen Stellungnahme verwehrt worden. Dies stelle eine schwerwiegende Verletzung des rechtlichen Gehörs dar. Misstrauisch mache zudem, dass der Entscheid der Vorinstanz nicht datiert sei und auf der Empfangsbestätigung der 4. September 2017 als Verfügungsdatum genannt werde.</w:t>
      </w:r>
    </w:p>
    <w:p>
      <w:r>
        <w:rPr>
          <w:b/>
        </w:rPr>
        <w:t>E. 4.2</w:t>
      </w:r>
    </w:p>
    <w:p>
      <w:r>
        <w:t>Der in Art. 29 Abs. 2 der Bundesverfassung der Schweizerischen Eidgenossenschaft vom 18. April 1999 (BV, SR 101) garantierte und in Art. 26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4.3</w:t>
      </w:r>
    </w:p>
    <w:p>
      <w:r>
        <w:t>Gemäss Art. 22 Abs. 2 VwVG kann eine behördlich angesetzte Frist aus zureichenden Gründen erstreckt werden, wenn die Partei vor Ablauf der Frist darum nachsucht. Zwar besteht kein Anspruch auf Erstreckung einer Frist, die Behörde hat aber im Einzelfall zu prüfen, ob die Gewährung nach pflichtgemässem Ermessen angezeigt ist. Sie entscheidet unter Berücksichtigung der Natur der Streitsache, der betroffenen Interessen und der Verfahrensumstände (vgl. Patricia Egli, in: Waldmann/Weissenberger [Hrsg.], Praxiskommentar zum VwVG, 2. Aufl. 2016, Art. 22 N 15). Die Praxis der Bundesbehörden und der Bundesgerichte bezüglich der Bewilligung von Fristerstreckungsgesuchen ist grosszügig, wenn das Verfahren der Natur der Sache nach nicht besonders dringlich ist oder der Fristerstreckung keine überwiegenden öffentlichen oder privaten Interessen entgegenstehen. Das erste Gesuch wird in der Regel gutgeheissen, wenn hinreichende Gründe plausibel dargelegt werden; dabei sind die Anforderungen an die geltend gemachten Gründe nicht allzu hoch (vgl. Patricia Egli, a.a.O., Art. 22 N 23). Der Entscheid über ein Erstreckungsgesuch hat in Form einer mit Endentscheid anfechtbaren Zwischenverfügung zu erfolgen. Wird das Gesuch abgelehnt, ist die Zwischenverfügung angemessen zu begründen (vgl. Urs Peter Cavelti, in: Auer/Müller/Schindler [Hrsg.], Kommentar zum VwVG, 2008, Art. 22 N 17).</w:t>
      </w:r>
    </w:p>
    <w:p>
      <w:r>
        <w:rPr>
          <w:b/>
        </w:rPr>
        <w:t>E. 4.4</w:t>
      </w:r>
    </w:p>
    <w:p>
      <w:r>
        <w:t>Die Vorinstanz hat dem Beschwerdeführer eine Frist bis zum 15. September 2017 zur Einreichung weiterer Beweismittel gesetzt. Der Beschwerdeführer reichte vor Ablauf dieser Frist ein begründetes Gesuch um Fristerstreckung ein. Die Vorinstanz wäre nach Treu und Glauben gehalten gewesen, dieses Gesuch zu behandeln und in einer verfahrensleitenden Zwischenverfügung darüber zu entscheiden. Stattdessen stellte die Vorinstanz dem Beschwerdeführer den Asylentscheid zu, ohne auf sein Fristerstreckungsgesuch zu reagieren. Dies stellt eine schwere Verletzung des rechtlichen Gehörs dar.</w:t>
      </w:r>
    </w:p>
    <w:p>
      <w:r>
        <w:rPr>
          <w:b/>
        </w:rPr>
        <w:t>E. 5.1</w:t>
      </w:r>
    </w:p>
    <w:p>
      <w:r>
        <w:t>Der Beschwerdeführer macht zudem eine Verletzung der Begründungspflicht geltend, da sich die Vorinstanz in der Verfügung nicht zu seinem Vorbringen, bei einer Rückkehr in die Türkei drohten ihm die Inhaftierung und Folter, geäussert habe.</w:t>
      </w:r>
    </w:p>
    <w:p>
      <w:r>
        <w:rPr>
          <w:b/>
        </w:rPr>
        <w:t>E. 5.2</w:t>
      </w:r>
    </w:p>
    <w:p>
      <w:r>
        <w:t>Die Behörden haben die Pflicht, die Vorbringen der Partei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Die Vorinstanz setzte sich in ihrer Verfügung mit den Vorbringen des Beschwerdeführers, ihm drohe bei einer Rückkehr in die Türkei eine Verfolgung durch die Militärbehörden und einen Einzug in den Militärdienst mit Versetzung in ein Kriegsgebiet aufgrund seiner kurdischen Zugehörigkeit, auseinander und stufte sie als nicht glaubhaft beziehungsweise nicht asylrelevant ein. Auf die Befürchtung des Beschwerdeführers gefoltert zu werden, ging die Vorinstanz nicht ein. Die Vorinstanz hat zwar nicht alle Vorbringen detailliert zu erörtern, dennoch wäre es angezeigt gewesen, die Vorbringen bezüglich drohender Folter zu erwähnen. Im Übrigen wäre zu erwarten gewesen, dass sich die Vorinstanz zur Möglichkeit des legalen Freikaufs vom türkischen Militärdienst äussert und diesbezüglich allfällige Sachverhaltsabklärungen tätigt.</w:t>
      </w:r>
    </w:p>
    <w:p>
      <w:r>
        <w:rPr>
          <w:b/>
        </w:rPr>
        <w:t>E. 6</w:t>
      </w:r>
    </w:p>
    <w:p>
      <w:r>
        <w:t>Aufgrund der formellen Natur des Anspruchs auf rechtliches Gehör führt eine Verletzung gemäss Lehre und Praxis in der Regel zur Aufhebung des betroffenen Entscheides. Ausnahmsweise kann eine Gehörsverletzung im Rechtsmittelverfahren geheilt werden, wenn die Verletzung nicht besonders schwer wiegt und die Rechtsmittelinstanz über die gleiche Kognition wie die Vorinstanz verfügt (vgl. Ulrich Häfelin/Georg Müller/Felix Uhlmann, Allgemeines Verwaltungsrecht, 7. Aufl. 2016, Rz. 1174 f.). Die Nichtbehandlung des Fristerstreckungsgesuchs stellt eine schwere Verletzung des rechtlichen Gehörs dar. Zudem ist die Vorinstanz ihrer Begründungspflicht nur ungenügend nachgekommen. Von einer Heilung der Gehörsverletzung ist demnach im vorliegenden Fall abzusehen. Die angefochtene Verfügung der Vorinstanz (eröffnet am 27. September 2017) ist somit aufzuheben und die Sache ist an die Vorinstanz zurückzuweisen (vgl. Art. 61 Abs. 1 VwVG). Die Vorinstanz ist anzuweisen, das Beweisverfahren unter rechtsgenüglicher Gewährung des rechtlichen Gehörs durchzuführen und ihren Entscheid angemessen zu begründen. Die Beschwerde ist somit gutzuheissen, soweit die Aufhebung der angefochtenen Verfügung und die Rückweisung der Sache an die Vorinstanz beantragt werden.</w:t>
      </w:r>
    </w:p>
    <w:p>
      <w:r>
        <w:rPr>
          <w:b/>
        </w:rPr>
        <w:t>E. 7.1</w:t>
      </w:r>
    </w:p>
    <w:p>
      <w:r>
        <w:t>Bei diesem Ausgang des Verfahrens sind keine Kosten zu erheben (Art. 63 Abs. 1 und 2 VwVG).</w:t>
      </w:r>
    </w:p>
    <w:p>
      <w:r>
        <w:rPr>
          <w:b/>
        </w:rPr>
        <w:t>E. 7.2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Rechtsvertreter des Beschwerdeführers hat keine Kostennote eingereicht. Der Aufwand lässt sich allerdings aufgrund der Akten zuverlässig abschätzen (Art. 14 Abs. 2 VGKE). In Anwendung der massgeblichen Bemessungsfaktoren (vgl. Art. 8-11 VGKE) ist das Honorar für Rechtsanwalt Silvio Bürgi auf Fr. 1'210.- (inkl. Auslagen) festzusetzen. Dieser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