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E-6109/2010 vom 29. Mai 2012</w:t>
      </w:r>
    </w:p>
    <w:p>
      <w:r>
        <w:t>Bundesverwaltungsgericht, 2012-05-29, FR</w:t>
      </w:r>
    </w:p>
    <w:p>
      <w:r>
        <w:rPr>
          <w:b/>
        </w:rPr>
        <w:t xml:space="preserve">Quelle: </w:t>
      </w:r>
      <w:r>
        <w:t>https://mcp.opencaselaw.ch/entscheid/bvger_E-6109_2010</w:t>
      </w:r>
    </w:p>
    <w:p>
      <w:r>
        <w:t>FR: TAF E-6109/2010 du 29 mai 2012</w:t>
      </w:r>
    </w:p>
    <w:p>
      <w:r>
        <w:t>IT: TAF E-6109/2010 del 29 maggio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formule de nouvelles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E 1022/2008 du 27 mars 2012, consid. 2.2; voir aussi Jurisprudence et informations de la Commission suisse de recours en matière d'asile [JICRA] 2005 n° 21 consid. 6.1 p. 190 s., JICRA 1996 n° 28 consid. 3a p. 270, JICRA 1994 n° 5 consid. 3c p. 43 s. ; Minh Son Nguyen, Droit public des étrangers, Berne 2003, p. 507 ss).</w:t>
      </w:r>
    </w:p>
    <w:p>
      <w:r>
        <w:rPr>
          <w:b/>
        </w:rPr>
        <w:t>E. 2.3</w:t>
      </w:r>
    </w:p>
    <w:p>
      <w:r>
        <w:t>La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ATAF 2008/34 consid. 7.1, ATAF 2008/12 consid. 5.1). La crainte face à des persécutions à venir, telle que comprise à l'art. 3 LAsi, contient ainsi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3.1</w:t>
      </w:r>
    </w:p>
    <w:p>
      <w:r>
        <w:t>En l'occurrence, les déclarations du recourant sont cohérentes, en ce sens qu'elles ne présentent pas de divergences significatives d'une audition à l'autre. L'ODM a cependant considéré que ses allégations concernant ses activités et son engagement en faveur du mouvement estudiantin et des LTTE étaient trop inconsistantes pour être crédibles et que son comportement n'était pas compatible avec les risques prétendument encourus. Il est ainsi arrivé à la conclusion que les faits n'avaient pas été rendus vraisemblables.</w:t>
      </w:r>
    </w:p>
    <w:p>
      <w:r>
        <w:rPr>
          <w:b/>
        </w:rPr>
        <w:t>E. 3.1.1</w:t>
      </w:r>
    </w:p>
    <w:p>
      <w:r>
        <w:t>De l'avis du Tribunal, les éléments relevés par l'ODM n'apparaissent toutefois pas suffisamment déterminants pour conclure à l'invraisemblance de l'arrestation et des mauvais traitements subis, surtout si on les met en balance avec les rapports médicaux produits, confirmant la compatibilité des cicatrices qu'il présente avec les tortures décrites. Les déclarations du recourant concernant ses activités pour le mouvement estudiantin et pour les LTTE ne sont, certes, pas très précises. Toutefois, les questions de l'auditeur à ce sujet n'ont pas été très approfondies et, d'autre part, comme le soutient le recourant, il est plausible qu'il n'y ait pas eu, de sa part, une réelle réflexion idéologique à la base de son engagement et qu'il ait simplement été enthousiasmé par certains discours (cf. pv de l'audition sur les motifs Q. 40 p. 8). De même, le fait qu'il ait continué de fréquenter les cours après avoir appris l'arrestation d'autres étudiants, ou le décès de celui qui portait le même prénom que lui, permet uniquement de conclure qu'à l'époque, il n'avait pas de véritable crainte subjective d'être arrêté, mais ne suffit pas à nier la vraisemblance de l'ensemble des faits allégués et, notamment, de son arrestation sur le chemin du lycée et des préjudices subis lors de sa détention.</w:t>
      </w:r>
    </w:p>
    <w:p>
      <w:r>
        <w:rPr>
          <w:b/>
        </w:rPr>
        <w:t>E. 3.1.2</w:t>
      </w:r>
    </w:p>
    <w:p>
      <w:r>
        <w:t>Sur ce point, les déclarations du recourant sont constantes. Elles font toutefois apparaître que l'armée ne visait pas le recourant en tant qu'activiste, mais que son but était essentiellement d'obtenir des noms de personnes engagées dans les LTTE (cf. pv de l'audition sur les motifs Q. 17 p. 5-6). Dans ces conditions, et contrairement à l'appréciation de l'ODM, le Tribunal estime que le fait que le recourant ait été relâché au bout de quelques mois n'est en soi pas invraisemblable, car les charges à son encontre (avoir participé à des manifestations, à une époque où les LTTE affichaient leur présence dans la région et rassemblaient des foules) n'étaient pas si importantes. Le fait que le recourant a été à nouveau utilisé comme indicateur par la suite confirme en quoi il intéressait l'armée.</w:t>
      </w:r>
    </w:p>
    <w:p>
      <w:r>
        <w:rPr>
          <w:b/>
        </w:rPr>
        <w:t>E. 3.1.3</w:t>
      </w:r>
    </w:p>
    <w:p>
      <w:r>
        <w:t>Le recourant a déposé une attestation datée du 19 août 2010, d'un médecin qui l'aurait soigné à B._______ après sa libération. Il ne peut être exclu que ce certificat, établi plus de deux ans après les faits et dont rien n'indique dans quelles circonstances et à la demande de qui il a été rédigé, soit un document de complaisance. Quoi qu'il en soit, le recourant a également fourni un rapport complet, établi le 29 octobre 2010 par un spécialiste des victimes de torture et de violences consulté en Suisse. Celui-ci a fait les constats suivants : "L'examen des téguments montre de nombreuses cicatrices : - au niveau des (...) : [...] neuf cicatrices (...) hyper-pigmentées (...) - une cicatrice (..) au niveau (...) due à un coup de bâton - huit cicatrices (...). Ces cicatrices sont compatibles avec des marques de (...). Sur le plan psychologique, [le patient] est collaborant et bien orienté dans le temps et l'espace. Il évoque son parcours avec précision. Son récit est détaillé et bien circonstancié. Il décrit des troubles du sommeil (difficultés d'endormissement, cauchemars, réveils fréquents avec accès d'angoisse). Il décrit un sentiment d'insécurité constant et exprime une grande lassitude, affirmant ne vouloir que trouver un peu de calme." Le médecin conclut: "[Le patient] présente un ensemble de lésions somatiques et de troubles psychologiques constituant un tableau clinique classiquement retrouvé chez les victimes de la violence organisée. Ces troubles psychologiques remplissent les critères de l'état de stress post-traumatique tel qu'il est décrit dans le DSM IV ou l'ICD 10. Il se manifeste par des phénomènes de réminiscence (souvenirs intrusifs, cauchemars) des phénomènes d'évitement, des troubles de la vigilance (hyper-vigilance, nervosité, troubles du sommeil). Ces troubles ont des répercussions sur le fonctionnement social (retrait social, tendance paranoïde). [...]"</w:t>
      </w:r>
    </w:p>
    <w:p>
      <w:r>
        <w:rPr>
          <w:b/>
        </w:rPr>
        <w:t>E. 3.1.4</w:t>
      </w:r>
    </w:p>
    <w:p>
      <w:r>
        <w:t>Au vu de ce qui précède, et compte tenu en particulier des rapports médicaux fournis, une juste pondération des éléments d'invraisemblance et de vraisemblance conduit à considérer comme vraisemblables la détention et les préjudices allégués. Cela ne signifie toutefois pas que les mauvais traitements allégués, dont le recourant a été victime durant sa détention par l'armée sri-lankaise à Jaffna en automne 2007, doivent conduire à la reconnaissance d'un besoin de protection internationale, et en conséquence, à la reconnaissance de la qualité de réfugié au recourant.</w:t>
      </w:r>
    </w:p>
    <w:p>
      <w:r>
        <w:rPr>
          <w:b/>
        </w:rPr>
        <w:t>E. 3.1.5</w:t>
      </w:r>
    </w:p>
    <w:p>
      <w:r>
        <w:t>Conformément à une jurisprudence constante, l'asile n'est en effet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La qualité de refugié ne sera ainsi pas reconnue lorsque la persécution a un caractère purement local et que l'intéressé peut trouver protection en s'installant dans une autre partie du pays, exempte de persécution (cf. ATAF D-4935/2007 du 21 décembre 2011, en partic. consid. 6.1 et jurisprudence citée).</w:t>
      </w:r>
    </w:p>
    <w:p>
      <w:r>
        <w:rPr>
          <w:b/>
        </w:rPr>
        <w:t>E. 3.1.6</w:t>
      </w:r>
    </w:p>
    <w:p>
      <w:r>
        <w:t>Le recourant soutient qu'en dépit de sa libération par l'armée sri-lankaise à Jaffna, il avait une crainte objectivement fondée d'être à nouveau arrêté et persécuté puisque l'armée s'était rendue à plusieurs reprises à son domicile et qu'elle possédait des preuves solides à son encontre. Cette crainte subjective du recourant ne repose toutefois pas sur des indices objectifs. L'ODM a sur ce point relevé avec raison que l'armée ne l'aurait pas relâché pour le rechercher immédiatement après, sur la base des mêmes moyens de preuve (vidéos) et en raison des mêmes charges (participation à des manifestations) qui avaient entraîné sa détention. Comme dit plus haut, les déclarations du recourant démontrent qu'il n'intéressait les autorités que dans la mesure où il pouvait leur permettre de mettre la main sur des membres des LTTE, ce que confirme le fait que les autorités locales l'aient, par la suite, utilisé comme indicateur.</w:t>
      </w:r>
    </w:p>
    <w:p>
      <w:r>
        <w:rPr>
          <w:b/>
        </w:rPr>
        <w:t>E. 3.2</w:t>
      </w:r>
    </w:p>
    <w:p>
      <w:r>
        <w:t>Le recourant fait valoir qu'il redoutait à l'époque et craint toujours actuellement, à juste titre, de subir de nouvelles persécutions. Certes, sa peur subjective d'être à nouveau arrêté est tout à fait compréhensible, vu son jeune âge et vu surtout les mauvais traitements subis durant sa détention. Toutefois, le recourant n'a pas rendu vraisemblable l'existence d'indices concrets dont il y aurait lieu d'inférer que sa crainte était objectivement fondée.</w:t>
      </w:r>
    </w:p>
    <w:p>
      <w:r>
        <w:rPr>
          <w:b/>
        </w:rPr>
        <w:t>E. 3.2.1</w:t>
      </w:r>
    </w:p>
    <w:p>
      <w:r>
        <w:t>Le recourant veut pour preuve qu'il était recherché personnellement par l'armée le décès de l'étudiant portant le même prénom que lui. Il n'y a toutefois aucune raison objective de penser que ce camarade aurait été tué à sa place. Celui-ci aurait été tué avant que le recourant ne soit arrêté sur le chemin du lycée. Or, si à l'époque l'armée avait recherché le recourant, elle serait intervenue à son domicile. Les moyens de preuve fournis concernant le décès de cet étudiant ne sont donc pas de nature à établir la preuve de recherches contre le recourant. Par ailleurs, comme relevé plus haut, le fait que le recourant a été relâché démontre que les charges à son encontre n'étaient pas suffisamment importantes pour qu'une procédure soit ouverte contre lui. Les militaires ne l'auraient pas libéré pour le rechercher aussitôt après.</w:t>
      </w:r>
    </w:p>
    <w:p>
      <w:r>
        <w:rPr>
          <w:b/>
        </w:rPr>
        <w:t>E. 3.2.2</w:t>
      </w:r>
    </w:p>
    <w:p>
      <w:r>
        <w:t>L'attestation du pasteur fournie (cf. let. A) n'est pas, elle non plus, de nature à constituer la preuve d'une crainte objectivement fondée de préjudices : rédigée en termes généraux faisant allusion au conflit interethnique au Sri Lanka, elle n'établit pas que le recourant aurait présenté un profil particulier ni qu'il aurait été personnellement recherché par les autorités pour des motifs politiques ou analogues, au sens de l'art. 3 LAsi. En tout état de cause, s'il pouvait redouter d'être à nouveau inquiété au cas où un attentat aurait été perpétré dans la ville où il habitait ou à proximité, il paraît évident que les autorités n'avaient pas contre lui de charges suffisamment importantes pour le rechercher sur le plan national. Preuve en est qu'il n'a pas allégué avoir rencontré de difficulté pour quitter Jaffna et se rendre à Trincomalee (ce qui supposait la délivrance d'un laisser-passer par les autorités militaires) et qu'il n'a connu aucun problème lorsqu'il a été contrôlé par l'armée dans cette ville. Aucun élément objectif n'indique non plus que la prétendue fouille du magasin de l'ami de son père, si tant est que ce fait soit avéré, ait eu un lien quelconque avec la présence du recourant dans cette ville. Les craintes exprimées par le recourant à ce sujet ne sont pas objectivement fondées.</w:t>
      </w:r>
    </w:p>
    <w:p>
      <w:r>
        <w:rPr>
          <w:b/>
        </w:rPr>
        <w:t>E. 3.3</w:t>
      </w:r>
    </w:p>
    <w:p>
      <w:r>
        <w:t>A propos des cicatrices que le recourant présente, il convient de relever encore que celles-ci ne paraissent pas, au vu des particularités du cas concret, de nature à entraîner pour l'intéressé un risque spécial d'attirer l'intérêt des autorités à son encontre. Preuve en est qu'elles n'ont pas éveillé des soupçons particuliers lors du contrôle de police qu'il aurait subi à Trincomalee ou lors des contrôles d'aéroport à son départ du pays ou encore lors des passages des postes de contrôle auxquels il a dû être forcément confronté pour se rendre de Jaffna à Trincomalee et, plus tard, de cette ville jusqu'à Colombo. En outre, le recourant ne prétend pas avoir fait l'objet d'une procédure judiciaire. Il n'allègue pas non plus s'être échappé de prison et il n'y a donc pas de raison de penser qu'il devrait être fiché et pour cette raison faire l'objet d'une fouille corporelle ou d'un quelconque examen plus poussé à son arrivée au Sri Lanka (cf. arrêt de la Cour européenne des Droits de l'Homme du 31 mai 2011 dans l'affaire E.G. c/ Royaume Uni, requête no 41178/08 ; cf. également arrêt E-6220/2006 du 27 octobre 2011, consid. 8.4). Au vu de ce qui précède, il n'y a pas lieu d'admettre, au moment de son départ du pays, l'existence d'une crainte fondée de subir, du moins en dehors de la région de B._______ où les militaires le connaissaient, des préjudices déterminants pour la reconnaissance de sa qualité de réfugié, justifiant l'octroi d'une protection internationale. Ce qui valait à l'époque de son départ vaut d'autant plus aujourd'hui, en l'absence d'autres indices objectifs et concrets.</w:t>
      </w:r>
    </w:p>
    <w:p>
      <w:r>
        <w:rPr>
          <w:b/>
        </w:rPr>
        <w:t>E. 3.4</w:t>
      </w:r>
    </w:p>
    <w:p>
      <w:r>
        <w:t>Au vu de ce qui précède, le recourant ne peut pas se prévaloir d'une crainte fondée d'être exposé, en cas de retour au Sri Lanka, à une persécution, de sorte que la qualité de réfugié ne saurait lui être reconnue ; partant, sa demande d'asile doit être rejetée. Le recours est, sur ces points, mal fondé et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Les trois conditions posées par l'art. 83 al. 2 à 4 LEtr, empêchant l'exécution du renvoi (illicéité, inexigibilité et impossibilité) sont de nature alternative : il suffit que l'une d'elles soit réalisée pour que le renvoi soit inexécutable (arrêt E-5316/2006 du 24 novembre 2009 consid. 5 [non publié dans ATAF 2009/41] ; arrêt E-2775/2007 du 14 février 2008 consid. 6.4 [non publié dans ATAF 2008/2] ; Jurisprudence et informations de la Commission suisse de recours en matière d'asile [JICRA] 2006 n° 30 consid. 7.3 p. 329). En l'occurrence, c'est sur la question de l'exigibilité de l'exécution du renvoi que le Tribunal entend porter son attention.</w:t>
      </w:r>
    </w:p>
    <w:p>
      <w:r>
        <w:rPr>
          <w:b/>
        </w:rPr>
        <w:t>E. 6.2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6.3</w:t>
      </w:r>
    </w:p>
    <w:p>
      <w:r>
        <w:t>Dans son arrêt E-6220/2006 précité,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que définie dans la jurisprudence publiée (cf. ATAF 2008/2). Il considère désormais que l'exécution du renvoi peut, en principe, être raisonnablement exigée vers toute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6.4</w:t>
      </w:r>
    </w:p>
    <w:p>
      <w:r>
        <w:t>En l'occurrence, le recourant est originaire de la province du Nord (district de Jaffna) et le Tribunal considère que des circonstances suffisamment favorables au retour de l'intéressé dans sa région d'origine ne sont pas réunies dans le cas d'espèce. Il y a lieu en effet de mettre l'accent sur la vraisemblance des préjudices passés, subis alors que le recourant était jeune et donc particulièrement vulnérable, et des traumatismes qui en ont résulté. Les rapports médicaux produits ne démontrent pas seulement la compatibilité des cicatrices observées avec les mauvais traitements décrits. Ils posent clairement le diagnostic d'état de stress post-traumatique (F 43.1 selon la classification ICD 10) et font également ressortir de manière tout aussi claire la fragilité psychique de l'intéressé, lorsque le discours porte sur la situation dans son pays d'origine, et le caractère indispensable, pour lui, d'un environnement stable pour pouvoir se reconstruire, à travers le travail ou les contacts avec d'autres personnes. Le spécialiste des victimes de torture consulté par le recourant a souligné l'importance pour celui-ci de pouvoir bénéficier d'un contexte stable et sûr, lui permettant de développer des liens sociaux. La doctoresse qui le suit dans le cadre d'une psychothérapie individuelle note qu'il présente de bonnes capacités adaptatives par une occupation au travail, mais qu'il reste particulièrement fragile par rapport aux événements politiques dans son pays d'origine, qui peuvent provoquer chez lui une anxiété importante. Aussi, en dépit de la présence de sa famille à Jaffna, il apparaît qu'un retour dans sa région d'origine est de nature à le mettre concrètement en danger en compromettant gravement ses chances de reconstruction psychique et, par là même, en mettant en péril ses possibilités de pourvoir par lui-même, durablement, à sa survie économique. En effet, outre la confrontation avec les lieux, les difficultés qu'il devrait affronter pour chercher et obtenir les soins adéquats que requièrent son état, dans un district affecté par une pénurie manifeste de spécialistes et de structures de santé psychiatrique par rapport aux besoins de la population, représenteraient un effort qui ne peut être raisonnablement exigé de lui, compte tenu de son état psychique et des préjudices subis par le passé. Quant à une installation dans une autre région, comme à Colombo, où il ne dispose aujourd'hui pas de réseau familial ou social, ou à Trincomalee, où il a vécu chez un ami de son père, mais où il lui serait - pour des raisons analogues - trop difficile d'obtenir une aide psychiatrique ou psychothérapeutique, elle ne paraît également pas non plus raisonnablement exigible, eu égard aux circonstances du cas. Tout bien considéré, compte tenu des particularités du cas d'espèce, notamment de la vraisemblance de la persécution passée, du poids à reconnaître aux rapports médicaux confirmant la compatibilité des séquelles physiques avec les traitements décrits, et du traumatisme qui s'en est suivi, l'exécution du renvoi du recourant n'est pas raisonnablement exigible, au sens de l'art. 83 al. 4 LEtr.</w:t>
      </w:r>
    </w:p>
    <w:p>
      <w:r>
        <w:rPr>
          <w:b/>
        </w:rPr>
        <w:t>E. 6.5</w:t>
      </w:r>
    </w:p>
    <w:p>
      <w:r>
        <w:t>Vu ce qui précède, il y a lieu de prononcer l'admission provisoire du recourant.</w:t>
      </w:r>
    </w:p>
    <w:p>
      <w:r>
        <w:rPr>
          <w:b/>
        </w:rPr>
        <w:t>E. 7</w:t>
      </w:r>
    </w:p>
    <w:p>
      <w:r>
        <w:t>En conséquence, le recours doit être admis sur ce point et la décision attaquée annulée en tant qu'elle prononce l'exécution du renvoi du recourant. L'ODM est donc invité à prononcer l'admission provisoire de celui-ci.</w:t>
      </w:r>
    </w:p>
    <w:p>
      <w:r>
        <w:rPr>
          <w:b/>
        </w:rPr>
        <w:t>E. 8.1</w:t>
      </w:r>
    </w:p>
    <w:p>
      <w:r>
        <w:t>Compte tenu de l'issue de la procédure, les frais doivent en partie être mis à la charge du recourant, dont les conclusions en matière d'asile ont été rejetées (cf. art. 63 al.1 PA ). Ils s'élèvent à 300 francs et sont compensés par l'avance versée le 13 septembre 2010 en garantie des frais de procédure.</w:t>
      </w:r>
    </w:p>
    <w:p>
      <w:r>
        <w:rPr>
          <w:b/>
        </w:rPr>
        <w:t>E. 8.2</w:t>
      </w:r>
    </w:p>
    <w:p>
      <w:r>
        <w:t>Ayant eu partiellement gain de cause, le recourant a droit à une indemnité partielle à raison de la moitié des frais indispensables et relativement élevés qui lui ont été occasionnés (cf. art. 64 al 1 PA et art. 7 al. 2 FITAF du règlement du 11 décembre 2006 concernant les frais, dépens et indemnités fixés par le Tribunal administratif fédéral [FITAF, RS 173.320.2]). Ceux-ci sont en l'occurrence arrêtés à 1'200 francs (TVA comprise), sur la base du dossier (cf.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