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E-609/2020 vom 13. Februar 2020</w:t>
      </w:r>
    </w:p>
    <w:p>
      <w:r>
        <w:t>Bundesverwaltungsgericht, 2020-02-13, DE</w:t>
      </w:r>
    </w:p>
    <w:p>
      <w:r>
        <w:rPr>
          <w:b/>
        </w:rPr>
        <w:t xml:space="preserve">Quelle: </w:t>
      </w:r>
      <w:r>
        <w:t>https://mcp.opencaselaw.ch/entscheid/bvger_E-609_2020</w:t>
      </w:r>
    </w:p>
    <w:p>
      <w:r>
        <w:t>FR: TAF E-609/2020 du 13 février 2020</w:t>
      </w:r>
    </w:p>
    <w:p>
      <w:r>
        <w:t>IT: TAF E-609/2020 del 13 febbraio 2020</w:t>
      </w:r>
    </w:p>
    <w:p>
      <w:pPr>
        <w:pStyle w:val="Heading2"/>
      </w:pPr>
      <w:r>
        <w:t>Regeste</w:t>
      </w:r>
    </w:p>
    <w:p>
      <w:r>
        <w:t>Nichteintreten auf Asylgesuch (kein Asylgesuch gemäss AsylG)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 zur Beschwerdeführung legitimiert (Art. 48 VwVG). Auf die frist- und formgerecht eingereichte Beschwerde ist einzutreten (aArt. 108 Abs. 2 AsylG und Art. 52 Abs. 1 VwVG).</w:t>
      </w:r>
    </w:p>
    <w:p>
      <w:r>
        <w:rPr>
          <w:b/>
        </w:rPr>
        <w:t>E. 3</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 sind als Verfügungsadressat zur Beschwerdeführung legitimiert (Art. 48 VwVG). Auf die frist- und formgerecht eingereichte Beschwerde ist einzutreten (aArt. 108 Abs. 1 AsylG und Art. 52 Abs. 1 VwVG).</w:t>
      </w:r>
    </w:p>
    <w:p>
      <w:r>
        <w:rPr>
          <w:b/>
        </w:rPr>
        <w:t>E. 4.1</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4.2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5.1</w:t>
      </w:r>
    </w:p>
    <w:p>
      <w:r>
        <w:t>Als Asylgesuch gilt gemäss Art. 18 AsylG jede Äusserung, mit der eine Person zu erkennen gibt, dass sie die Schweiz um Schutz vor Verfolgung ersucht. Die Praxis geht dabei von einem weiten Verfolgungsbegriff aus; neben den in Art. 3 AsylG genannten Gründen sind auch Wegweisungshindernisse im Sinne von Art. 44 AsylG i.V.m. Art. 83 Abs. 2-4 AIG (SR 142.20) umfasst, sofern diese von Menschenhand geschaffen wurden (vgl. bereits Entscheidungen und Mitteilungen der vormaligen Schweizerischen Asylrekurskommission [EMARK] 2003 Nr. 18 und seither konstante Praxis).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5.2</w:t>
      </w:r>
    </w:p>
    <w:p>
      <w:r>
        <w:t>Die Vorinstanz hat in der Verfügung zutreffend festgestellt, dass kein Asylgesuch im Sinne von Art. 18 AsylG vorliegt. Die Beschwerdeführerin selbst hat in der Befragung und der Anhörung erklärt, aufgrund ihrer gesundheitlichen Probleme und derjenigen ihres Sohnes C._______ in die Schweiz gekommen zu sein. Zudem erhoffe sie sich in der Schweiz eine schulische Ausbildung für ihre Kinder sowie die Möglichkeit einer beruflichen Tätigkeit für sich. Probleme mit den Behörden oder mit Drittpersonen habe sie in Serbien keine gehabt. Somit hat sie in ihrem Gesuch weder eine Verfolgung noch eine Furcht vor zukünftiger Verfolgung in Serbien geltend gemacht. Die in der Beschwerde erstmals vorgebrachte Ausgrenzung der Roma in Serbien ändert nichts an der Rechtmässigkeit des Nichteintretens. Eine nichtstaatliche Verfolgung ist nur dann von flüchtlingsrechtlicher Relevanz, wenn der Heimatstaat keinen adäquaten Schutz bieten kann. Von einem hinreichenden Schutz ist auszugehen, wenn die betroffene Person Zugang zu einer funktionierenden und effizienten Schutzinfrastruktur hat und die Inanspruchnahme eines solchen innerstaatlichen Schutzsystems individuell zumutbar ist. Der Bundesrat hat Serbien als verfolgungssicheren Heimat- oder Herkunftsstaat ("safe country") im Sinne von Art. 6a Abs. 2 Bst. a AsylG bezeichnet (vgl. Anhang 2 der Asylverordnung 1 vom 11. August 1999 [AsylV 1, SR 142.311]). Damit besteht die gesetzliche Regelvermutung, dass asylrelevante staatliche Verfolgung nicht stattfindet und Schutz vor nichtstaatlicher Verfolgung gewährleistet ist. Es handelt sich dabei um eine relative Verfolgungssicherheit, weshalb diese Regelvermutung im Einzelfall aufgrund konkreter und substantiierter Hinweise umgestossen werden kann. Solche Anhaltspunkte lassen sich den Akten nicht entnehmen; die Beschwerdeführerin verweist lediglich auf die allgemeine Lage der Roma in Serbien. Die Schwelle zur Kollektivverfolgung ist ebenfalls nicht erreicht, da die Anforderungen an die Feststellung einer solchen gemäss der Rechtsprechung des Bundesverwaltungsgerichts sehr hoch sind (BVGE 2014/32 E. 7.2; 2013/21 E. 9.1; 2013/12 E. 6). Die Vorinstanz ist folglich gestützt auf Art. 31a Abs. 3 AsylG zu Recht nicht auf die Asylgesuche der Beschwerdeführer eingetreten.</w:t>
      </w:r>
    </w:p>
    <w:p>
      <w:r>
        <w:rPr>
          <w:b/>
        </w:rPr>
        <w:t>E. 6</w:t>
      </w:r>
    </w:p>
    <w:p>
      <w:r>
        <w:t>Gemäss Art. 44 AsylG verfügt das SEM in der Regel die Wegweisung aus der Schweiz, wenn es das Asylgesuch ablehnt oder nicht darauf eintritt. Die Beschwerdeführer verfügen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den Beschwerdeführern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 für den Fall einer Ausschaffung nach Serbien dort mit beachtlicher Wahrscheinlichkeit einer nach Art. 3 EMRK oder Art. 1 FoK verbotenen Strafe oder Behandlung ausgesetzt wären.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Vorab ist festzuhalten, dass die allgemeine Lage in Serbien weder von Krieg, Bürgerkrieg noch von allgemeiner Gewalt gekennzeichnet ist, so dass der Vollzug der Wegweisung dorthin grundsätzlich zumutbar ist. Der Bundesrat hat Serbien denn auch als Staat bezeichnet, in welchen eine Rückkehr in der Regel zumutbar ist (vgl. Art. 83 Abs. 3 AIG i.V.m. Art. 18 der Verordnung über den Vollzug der Weg- und Ausweisung sowie der Landesverweisung von ausländischen Personen [VVWAL, SR 142.281] und Anhang 2 der Verordnung). Diese gesetzliche Vermutung kann durch substantiierte Hinweise umgestossen werden. Den Akten lassen sich keine konkreten Anhaltspunkte für die Annahme entnehmen, wonach die Beschwerdeführer in Serbien aus individuellen Gründen wirtschaftlicher, sozialer oder gesundheitlicher Natur in eine existenzbedrohende Situation geraten würden. Die Beschwerdeführerin lebte bis zum Alter von 14 oder 15 Jahren in Serbien, weshalb entgegen ihrer Angaben davon ausgegangen werden kann, dass sie nach wie vor serbisch spricht. Weiter kann entgegen ihrer Angaben auch angenommen werden, dass sie in Serbien über Verwandtschaft und somit über ein Beziehungsnetz verfügt. Selbst wenn eine Wiedereingliederung in Serbien mit gewissen Reintegrationsschwierigkeiten verbunden wären, ist davon auszugehen, dass ihnen nach einer gewissen Anlaufphase eine Eingliederung in das gesamte Umfeld und das dortige Schulsystem gelingen dürfte. Der Vollzug erweist sich deshalb auch in individueller Hinsicht als zumutbar. In den Arztberichten werden verschiedene Krankheiten der Beschwerdeführerin aufgezählt. Ihre aktuellen gesundheitlichen Probleme, Anzeichen einer depressiven Störung, eine koronare Herzerkrankung sowie Mangelerscheinungen, lassen ebenfalls nicht auf Unzumutbarkeit des Vollzugs schliessen. Wie die Vorinstanz bereits zutreffend festgestellt hat, ist die medizinische Grundversorgung in Serbien gewährleistet und allfällige psychische Probleme können angemessen behandelt werden, wobei die Bevölkerung Zugang zum Gesundheitssystem hat. Was den Gesundheitszustand ihres Sohnes C._______ betrifft, so wurden keine ärztlichen Unterlagen eingereicht.</w:t>
      </w:r>
    </w:p>
    <w:p>
      <w:r>
        <w:rPr>
          <w:b/>
        </w:rPr>
        <w:t>E. 7.4</w:t>
      </w:r>
    </w:p>
    <w:p>
      <w:r>
        <w:t>Nach Art. 83 Abs. 2 AIG ist der Vollzug auch als möglich zu bezeichnen, weil es den Beschwerdeführern obliegt, bei der zuständigen Vertretung ihres Heimatstaats die für ihre Rückkehr notwendigen Reisedokumente zu beschaffen (Art. 8 Abs. 4 AslyG; BVGE 2008/34 E. 12).</w:t>
      </w:r>
    </w:p>
    <w:p>
      <w:r>
        <w:rPr>
          <w:b/>
        </w:rPr>
        <w:t>E. 7.5</w:t>
      </w:r>
    </w:p>
    <w:p>
      <w:r>
        <w:t>Die Vorinstanz hat somit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Die gestellten Begehren erweisen sich als aussichtslos, weshalb das Gesuch um unentgeltliche Prozessführung ungeachtet einer allfälligen prozessualen Bedürftigkeit abzuweisen ist (Art. 65 Abs. 1 VwVG und aArt. 110a Abs. 1 Bst. a AsylG).</w:t>
      </w:r>
    </w:p>
    <w:p>
      <w:r>
        <w:rPr>
          <w:b/>
        </w:rPr>
        <w:t>E. 9.2</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 Das Gesuch um Erlass des Kostenvorschusses ist mit 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