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E-608/2016 vom 2. Februar 2016</w:t>
      </w:r>
    </w:p>
    <w:p>
      <w:r>
        <w:t>Bundesverwaltungsgericht, 2016-02-02, DE</w:t>
      </w:r>
    </w:p>
    <w:p>
      <w:r>
        <w:rPr>
          <w:b/>
        </w:rPr>
        <w:t xml:space="preserve">Quelle: </w:t>
      </w:r>
      <w:r>
        <w:t>https://mcp.opencaselaw.ch/entscheid/bvger_E-608_2016</w:t>
      </w:r>
    </w:p>
    <w:p>
      <w:r>
        <w:t>FR: TAF E-608/2016 du 2 février 2016</w:t>
      </w:r>
    </w:p>
    <w:p>
      <w:r>
        <w:t>IT: TAF E-608/2016 del 2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Der Beschwerdeführer führt auf Beschwerdeebene aus, die angefochtene Verfügung sei nicht nachvollziehbar und sei deshalb für eine Neubeurteilung an die Vorinstanz zurückzuweisen. Die Vorinstanz sei dabei anzuweisen, den Entscheid nachvollziehbar zu begründen und den Sachverhalt klar darzustellen.</w:t>
      </w:r>
    </w:p>
    <w:p>
      <w:r>
        <w:rPr>
          <w:b/>
        </w:rPr>
        <w:t>E. 3.2</w:t>
      </w:r>
    </w:p>
    <w:p>
      <w:r>
        <w:t>Der Beschwerdeführer rügt, die Vorinstanz führe in der angefochtenen Verfügung aus, am 14. Januar 2016 sei ein Rückübernahmegesuch an Deutschland gestellt worden, welches gleichentags gutgeheissen worden sei. Dieses Gesuch sei weder im Aktenverzeichnis eingetragen noch editiert worden. Hierzu ist festzuhalten, dass es sich offensichtlich um einen Verschreiber in der angefochtenen Verfügung handelt, der keinerlei Auswirkung auf das vorliegende Asylverfahren hat. Das Gesuch um Rückübernahme ist, wie aus den Akten unschwer zu erkennen ist, auf den 23. Dezember 2015 datiert.</w:t>
      </w:r>
    </w:p>
    <w:p>
      <w:r>
        <w:rPr>
          <w:b/>
        </w:rPr>
        <w:t>E. 3.3</w:t>
      </w:r>
    </w:p>
    <w:p>
      <w:r>
        <w:t>Weiter macht der Beschwerdeführer geltend, die Gutheissung des Gesuchs der deutschen Behörden betreffe jemanden mit den Personalien B._______. Dabei könne es sich nicht um ihn handeln. Dies ist falsch. Der Beschwerdeführer selbst gab sich anlässlich der Kontrolle durch das Grenzwachtkorps (GWK) als B._______ aus (SEM-Akten, A6/13). Erst anlässlich der Asylgesuchsstellung änderte er seinen Namen auf A._______. Selbstverständlich haben die schweizerischen Behörden im an Deutschland gerichteten Wiederaufnahmegesuch sämtliche Aliasnamen des Beschwerdeführers angegeben, sowie sämtliche vom Beschwerdeführer während des Verfahrens erwähnten Geburtsdaten. Dass der Beschwerdeführer diese Tatsache nach seinen offensichtlich widersprüchlichen Aussagen zu seiner Identität und seinem Geburtsdatum auf Beschwerdeebene rügt, ist als äusserst dreist zu bezeichnen. Seine Rüge geht fehl.</w:t>
      </w:r>
    </w:p>
    <w:p>
      <w:r>
        <w:rPr>
          <w:b/>
        </w:rPr>
        <w:t>E. 3.4</w:t>
      </w:r>
    </w:p>
    <w:p>
      <w:r>
        <w:t>Der Beschwerdeführer rügt ferner, die Vorinstanz sei fälschlicherweise von seiner Volljährigkeit ausgegangen. Er habe in Bezug auf sein Geburtsdatum immer denselben Tag angegeben. Die einzige Unregelmässigkeit lasse sich mit einem Fehler bei der Umrechnung aus dem iranischen Kalender erklären. Aufgrund der Handknochenanalyse lasse sich keine wissenschaftlich zuverlässige Aussage machen, ob eine Person das 18. Altersjahr tatsächlich erreicht habe. Die Vorinstanz führt in der angefochtenen Verfügung zutreffend aus, dass der Beschwerdeführer nicht als unbegleiteter Minderjähriger zu behandeln sei, da es ihm nicht gelungen sei, die Minderjährigkeit glaubhaft zu machen. So gab der Beschwerdeführer während des bisherigen Verfahrens zahlreiche verschiedene Geburtsdaten zu Protokoll. Anlässlich der Gesuchseinreichung gibt er an, am (...) geboren zu sein (SEM-Akten, A1/2). In der BzP führt er aus, sein Geburtsdatum sei der (...). Anlässlich der Gewährung des rechtlichen Gehörs zu seinem Alter gibt er zu Protokoll, er kenne sein Alter nicht. Seine Mutter habe es ihm gesagt. Er sei 16 Jahre alt und nicht 15. Er habe um ein paar Monate gerundet (SEM-Akten, A11/3). Aus den Akten des GWK geht sodann hervor, dass er als Geburtsdatum den (...) angibt (SEM-Akten, A6/13). Die von der Vorinstanz in Auftrag gegebene Handknochenanalyse ergab sodann ein Knochenalter von 19 Jahren oder älter (SEM-Akten, A9/2). Aufgrund der widersprüchlichen Angaben des Beschwerdeführers bezüglich seines Geburtsdatums und der durchgeführten Handknochenanalyse, welche ein Knochenalter von 19 Jahren oder älter ergab, kann dem Beschwerdeführer seine behauptete Minderjährigkeit nicht geglaubt werden. Erklären lassen sich die verschiedenen Daten auch nicht mit einem Umrechnungsfehler. Rechtsgenügliche Ausweispapiere hat er, trotz Aufforderung in der BzP, keine eingereicht. Die Vor­instanz ist demnach zu Recht von der Volljährigkeit des Beschwerdeführers ausgegangen.</w:t>
      </w:r>
    </w:p>
    <w:p>
      <w:r>
        <w:rPr>
          <w:b/>
        </w:rPr>
        <w:t>E. 3.5</w:t>
      </w:r>
    </w:p>
    <w:p>
      <w:r>
        <w:t>Zusammenfassend kann festgestellt werden, dass das Vorbringen des Beschwerdeführers, die angefochtene Verfügung sei nicht nachvollziehbar, unzutreffend ist. Für eine Rückweisung der Sache zur Neubeurteilung an die Vorinstanz besteht nach dem Gesagten kein Anlass.</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hält in der angefochtenen Verfügung fest, ein Abgleich der Fingerabdrücke mit der Zentraleinheit Eurodac habe ergeben, dass der Beschwerdeführer am 25. Oktober 2015 in Deutschland ein Asylgesuch eingereicht habe. Die deutschen Behörden hätten das Ersuchen der Schweiz um Übernahme des Beschwerdeführers gestützt auf Art. 18 Abs. 1 Bst. b Dublin-III-VO gutgeheissen. Die Zuständigkeit für die Durchführung des Asyl- und Wegweisungsverfahrens liege somit bei Deutschland.</w:t>
      </w:r>
    </w:p>
    <w:p>
      <w:r>
        <w:rPr>
          <w:b/>
        </w:rPr>
        <w:t>E. 5.2</w:t>
      </w:r>
    </w:p>
    <w:p>
      <w:r>
        <w:t>Der Beschwerdeführer hat dem nichts entgegenzustellen. Die Vor­instanz ist somit zutreffend von der Zuständigkeit Deutschlands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w:t>
      </w:r>
    </w:p>
    <w:p>
      <w:r>
        <w:rPr>
          <w:b/>
        </w:rPr>
        <w:t>E. 6</w:t>
      </w:r>
    </w:p>
    <w:p>
      <w:r>
        <w:t>Zusammenfassend verletzt die angefochtene Verfügung kein Bundesrecht und ist auch sonst nicht zu beanstanden (Art. 106 AsylG). Die Beschwerde ist abzuweisen. Mit dem vorliegenden Urteil ist der Antrag auf Gewährung der aufschiebenden Wirkung sowie der Antrag, die Vollzugsbehörden seien anzuweisen, von einer Überstellung nach Deutschland abzusehen, gegenstandslos geworden.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seine Begehren als aussichtslos zu gelten haben, kann den Gesuchen um Gewährung der unentgeltlichen Rechtspflege nach Art. 65 Abs. 1 VwVG sowie der amtlichen Rechtsvertretung nach Art. 65 Abs. 2 VwVG nicht stattgegeben werden. Das Gesuch um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