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E-6083/2009 vom 17. Juli 2012</w:t>
      </w:r>
    </w:p>
    <w:p>
      <w:r>
        <w:t>Bundesverwaltungsgericht, 2012-07-17, DE</w:t>
      </w:r>
    </w:p>
    <w:p>
      <w:r>
        <w:rPr>
          <w:b/>
        </w:rPr>
        <w:t xml:space="preserve">Quelle: </w:t>
      </w:r>
      <w:r>
        <w:t>https://mcp.opencaselaw.ch/entscheid/bvger_E-6083_2009</w:t>
      </w:r>
    </w:p>
    <w:p>
      <w:r>
        <w:t>FR: TAF E-6083/2009 du 17 juillet 2012</w:t>
      </w:r>
    </w:p>
    <w:p>
      <w:r>
        <w:t>IT: TAF E-6083/2009 del 17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BFM zog mit Entscheid vom 14. September 2011 seine Verfügung vom 21. August 2009 insoweit teilweise in Wiedererwägung, als es den Beschwerdeführenden die Flüchtlingseigenschaft aufgrund subjektiver Nachfluchtgründe des Beschwerdeführers zuerkannte und ihnen die vorläufige Aufnahme infolge Unzulässigkeit des Wegweisungsvollzuges gewährte. Den selben Status hat seit dem 8. März 2012 auch das zweitgeborene Kind. Die Beschwerde ist somit als gegenstandslos geworden abzuschreiben, soweit sie die Flüchtlingseigenschaft und den Vollzug der Wegweisung beschlägt. Das Bundesverwaltungsgericht hat sich materiell einzig noch mit der Frage der Gewährung des Asyls und mit der Wegweisung als solcher zu befassen.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den ablehnenden Asylentscheid damit, dass die vorfluchtweise geltend gemachten Benachteiligungen und Befürchtungen den Anforderungen von Art. 7 AsylG nicht genügten. So seien die Angaben des Beschwerdeführers in wesentlichen Punkten chronologisch und inhaltlich widersprüchlich (Daten der Präsidentschaftswahlen und der Festnahme im Mai 2007; zwei- beziehungsweise dreitägige Inhaftierungsdauer; Urheberschaft der damaligen Anzeigeerstattung; Anzahl und Beteiligte der verbalen Auseinandersetzungen mit den Arabern). Ferner habe er die angeblich erlittenen Misshandlungen während der Inhaftierung im Mai 2007 und die behauptete Unterstützung kurdischer Parteien erst in der Anhörung zu den Asylgründen nachgeschoben, wogegen er diese zentralen Vorbringen ohne zwingenden Grund im EVZ gänzlich unerwähnt belassen habe. Auch erscheine es erfahrungswidrig und unlogisch, dass er den Namen des allseits bekannten Besitzers des von ihm regelmässig besuchten Supermarktes nicht habe nennen können. Ebenso erscheine das geschilderte Suchvorgehen der syrischen Polizei in seinem Fall angesichts der bekannten Operationsweise und Effizienz dieser Behörde realitätsfremd und unplausibel. Zudem habe er die Vorfälle vom Mai und Juli 2007 sowie die Reiseumstände derart weitgehend unsubstanziiert, detailarm, simpel, undifferenziert und stereotyp geschildert, dass sie nicht den Anschein von persönlich Erlebtem zu erwecken vermöchten. Angesichts dieser Feststellungen erstaune auch das Ergebnis der Botschaftsabklärung nicht, zumal sich die Beschwerdeführenden hierzu nicht substanziell oder überzeugend geäussert hätten. Es sei somit von einer legalen Ausreise auf dem Luftweg auszugehen, welcher Umstand aber eine Fahndung nach dem Beschwerdeführer als unglaubhaft und die geschilderten Reiseumstände als offensichtlich tatsachenwidrig erscheinen liessen. Schliesslich erkennt das BFM die exilpolitischen Betätigungen des Beschwerdeführers als flüchtlingsrechtlich nicht zureichend im Sinne von Art. 3 AsylG.</w:t>
      </w:r>
    </w:p>
    <w:p>
      <w:r>
        <w:rPr>
          <w:b/>
        </w:rPr>
        <w:t>E. 4.2</w:t>
      </w:r>
    </w:p>
    <w:p>
      <w:r>
        <w:t>In ihrer Beschwerde halten die Beschwerdeführenden an ihren Vorbringen und deren Glaubhaftigkeit im Wesentlichen fest. Diese präsentierten sich entgegen der Ansicht der Vorinstanz durchaus schlüssig, widerspruchsfrei und im Wesentlichen detailliert, und die wenigen angeführten Widersprüche seien vermeintlicher Art und liessen sich erklären. So sei die chronologische Ungereimtheit betreffend die Präsidentschaftswahl und die Festnahme vom Mai 2007 auf einen vermutlichen Übersetzungsfehler zurückzuführen; ansonsten seien die Aussagen zur Festnahme stimmig und deckungsgleich. Der Eindruck eines Nachschiebens der Misshandlungen sei ebenfalls nicht gerechtfertigt, sondern hänge mit dem summarischen Charakter der Befragung im EVZ und dem anfänglichen Schamempfinden des Beschwerdeführers zusammen. In der Anhörung zu den Asylgründen seien diese Misshandlungen dann detailliert und widerspruchsfrei geschildert worden. Die Glaubhaftigkeit dieser Haft und der dabei erlittenen Misshandlungen ergebe sich auch aus einer am (...) 2009 durchgeführten Begutachtung durch das Ambulatorium für Folter- und Kriegsopfer (AFK). Im - der Beschwerde beiliegenden - Bericht werde eine Posttraumatische Belastungsstörung (PTBS) diagnostiziert und die gesundheitlichen Probleme würden als mit den ursächlichen Schilderungen plausibel und kongruent beurteilt. Der Widerspruch betreffend die Haftdauer sei sodann vermeintlicher Art, weil es sich um eine gesamthaft zwei Tage und zwei Nächte dauernde Haft handle, die sich aber über drei Kalendertage erstreckt habe. Die Schilderungen der Haft wiesen im Übrigen auch einige Realitätskennzeichen auf. Betreffend den vorgehaltenen Widerspruch hinsichtlich der Auseinandersetzung(en) vom Juli 2007 mit den Arabern legt sich der Beschwerdeführer dahingehend fest, dass es zwei solche Vorfälle gegeben habe, wobei beim ersten seine Verwandten beteiligt gewesen seien, er beim zweiten aber alleine gewesen sei. Auch diese Unstimmigkeit sei durch den Summarcharakter der Befragung im EVZ zu erklären. Abgesehen davon seien Bestrebungen zu Landenteignungen von Kurden durch Araber in Syrien notorisch. Sodann decke sich das Botschaftsergebnis einer nicht bestehenden Suche nach dem Beschwerdeführer mit dessen eigenen Aussagen, wonach er eben nicht offiziell gesucht werde; dies entspreche dem willkürlichen Vorgehen der syrischen Geheimdienste, welches beispielsweise auch einem Bericht der Schweizerischen Flüchtlingshilfe vom August 2008 entnommen werden könne. Die Beschwerdeführenden räumen nunmehr aber ein, auf dem Luftweg ab Damaskus ausgereist zu sein, welches Sachverhaltselement sie jedoch auf Anraten des Schleppers verschleiert hätten. Dieses Verhalten sei entschuldbar und lasse keine Rückschlüsse auf die Beurteilung der Glaubhaftigkeit der Asylvorbringen zu. Weitere umfangreiche Teile der Beschwerde und der eingereichten Beweismittel beschlagen das exilpolitische Engagement des Beschwerdeführers im Hinblick auf das geltend gemachte Bestehen subjektiver Nachfluchtgründe.</w:t>
      </w:r>
    </w:p>
    <w:p>
      <w:r>
        <w:rPr>
          <w:b/>
        </w:rPr>
        <w:t>E. 4.3</w:t>
      </w:r>
    </w:p>
    <w:p>
      <w:r>
        <w:t>In der Zwischenverfügung des Bundesverwaltungsgerichts vom 19. Oktober 2009 wurde im Hinblick auf die Beurteilung der geringen Erfolgsaussichten der Beschwerde erwogen (Zitat auszugsweise:), "dass die Vorbringen der Beschwerdeführenden, welche sie zur Ausreise veranlasst hätten, von der Vorinstanz zu Recht aufgrund widersprüchlicher, unsubstanziierter und vager Angaben als unglaubhaft qualifiziert worden sein dürften, dass insbesondere die angeblich erlittenen Folterungen aufgrund nachgeschobener Schilderungen unglaubhaft erscheinen, dass den Ausführungen der Vorinstanz insgesamt nichts Stichhaltiges entgegengesetzt wird und die Erklärungen der Beschwerdeführenden nicht geeignet erscheinen, die in der angefochtenen Verfügung zutreffend festgehaltenen Vorhalte plausibel zu erklären, dass die angefochtene Verfügung im Weiteren auch soweit die Würdigung der im erstinstanzlichen Verfahren eingereichten Beweismittel als korrekt erscheint, (...)dass der eingereichte Arztbericht vom (...) 2009 zu keiner anderen Erkenntnis führen dürfte".</w:t>
      </w:r>
    </w:p>
    <w:p>
      <w:r>
        <w:rPr>
          <w:b/>
        </w:rPr>
        <w:t>E. 4.4</w:t>
      </w:r>
    </w:p>
    <w:p>
      <w:r>
        <w:t>In der Beschwerdeergänzung vom 19. Juli 2011 erwähnt der Beschwerdeführer eine zwischenzeitlich erfolgte Verhaftung seines Bruders in Syrien. Die weiteren umfangreichen Teile der Ergänzungseingabe beschlagen sein exilpolitisches Engagement in der Schweiz.</w:t>
      </w:r>
    </w:p>
    <w:p>
      <w:r>
        <w:rPr>
          <w:b/>
        </w:rPr>
        <w:t>E. 4.5</w:t>
      </w:r>
    </w:p>
    <w:p>
      <w:r>
        <w:t>Der teilweise Wiedererwägungsentscheid des BFM vom 14. September 2011 basierte einzig auf der Erkenntnis zwischenzeitlich eingetretener und flüchlingsrechtlich relevanter subjektiver Nachfluchtgründe des Beschwerdeführers. Zu den Vorfluchtgründen liess sich das BFM nicht vernehmen. In einem im Verteiler befindlichen Hinweis an das Bundesverwaltungsgericht offerierte das BFM jedoch eine Stellungnahme auch betreffend den Asylpunkt, sofern diesbezüglich an der Beschwerde festgehalten werde. Das Gericht verzichtete auf eine diesbezügliche erneute Überweisung der Akten an das BFM zur ergänzenden Stellungnahme.</w:t>
      </w:r>
    </w:p>
    <w:p>
      <w:r>
        <w:rPr>
          <w:b/>
        </w:rPr>
        <w:t>E. 4.6</w:t>
      </w:r>
    </w:p>
    <w:p>
      <w:r>
        <w:t>In der Rückzugsanfrage des Bundesverwaltungsgerichts vom 28. Dezember 2011 bestätigte die Instruktionsrichterin unter integralem Hinweis auf den Inhalt der Zwischenverfügung vom 19. Oktober 2009 die geringen Erfolgsaussichten der Beschwerde im Asylpunkt.</w:t>
      </w:r>
    </w:p>
    <w:p>
      <w:r>
        <w:rPr>
          <w:b/>
        </w:rPr>
        <w:t>E. 4.7</w:t>
      </w:r>
    </w:p>
    <w:p>
      <w:r>
        <w:t>In ihrer Stellungnahme vom 17. Januar 2012, mit welcher die Beschwerdeführenden das Festhalten an der Beschwerde erklärten, äussern diese sich ihrerseits substanziell nicht weiter zum Asylpunkt. 5.1 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vgl. zum Ganzen Entscheidungen und Mitteilungen der Schweizerischen Asylrekurskommission [EMARK] 1994 Nr. 5 E. 3c, EMARK 1996 Nr. 28 E. 3a, EMARK 2005 Nr. 21 E. 6.1 und [exemplarisch für die Fortführung der Praxis durch das Bundesverwaltungsgericht] das Urteil D-859/2010 vom 10. Oktober 2011 E. 3.2). 5.1.1 Vorab ist der Argumentation der Beschwerdeführenden insoweit ein gewisses Entkräftungspotenzial im Hinblick auf die Glaubhaftigkeitsprüfung der Vorinstanz zu attestieren, als die zwei- beziehungsweise dreitägige Haftdauer in Anbetracht der entsprechenden Protokollpassagen durchaus im Sinne des in der Beschwerde unternommenen Erklärungsversuches verstanden werden kann. Daneben ist, obwohl in der Beschwerde nicht spezifisch gerügt, dem vorinstanzlichen Vorhalt des Nachschiebens der finanziellen Unterstützung kurdischer Parteien von Amtes wegen die Stichhaltigkeit abzusprechen, weil der Beschwerdeführer dieses Sachverhaltselement im ganzen erstinstanzlichen Verfahren nie als zentrale und wesentliche Ursache seiner angeblichen Verfolgung und im Übrigen auch nicht aus eigener Initiative vorgebracht hat, sondern auf Nachfragen hin vielmehr klar zu verstehen gab, dass ihm daraus keinerlei Probleme erwachsen seien. Im Übrigen aber gelangt das Bundesverwaltungsgericht zur klaren Erkenntnis, dass die in der angefochtenen Verfügung vorgenommene Glaubhaftigkeitsprüfung den durch Gesetz und Praxis festgelegten Ansprüchen vollauf genügt. Zur Vermeidung von Wiederholungen kann auf die zutreffenden vorinstanzlichen Erwägungen verwiesen werden. Die diesbezüglich in der Beschwerdeschrift gemachten Ausführungen überzeugen nicht. Sie erschöpfen sich weitgehend in blossen Bekräftigungen, Gegen- beziehungsweise Schutzbehauptungen (Übersetzungsfehler, Summarcharakter der EVZ-Befragungen, Schamgefühl, usw.), nachträglichen Anpassungen oder Festlegungen auf eine von mehreren zueinander in Widerspruch stehenden Versionen. Die weiteren gegen die Glaubhaftigkeitsprüfung des BFM gerichteten Entkräftungsversuche beinhalten zwar durchaus gewisse Substanz, erweisen sich aber bei genauerer Betrachtung als nicht überzeugend. Der auf Beschwerdestufe als Beweis für die Inhaftierung und Misshandlungen ins Zentrum gerückte AFK-Bericht mit der Diagnose einer (leichten bis mittelgradigen) PTBS ist zwar in seiner medizinischen Wissenschaftlichkeit nicht in Zweifel zu ziehen, jedoch hinsichtlich der von den Beschwerdeführenden daraus gezogenen Schlussfolgerungen in asylrechtlicher Hinsicht. Der Bericht stützt sich einzig auf die sachverhaltlichen und anamnetischen Angaben des Beschwerdeführers. Richtigerweise masst sich der berichtende Arzt nicht eine Beurteilung der Glaubhaftigkeit dieser Angaben an, sondern lässt diese im Raum stehen, stellt die Angaben in Relation zu den geäusserten Beschwerden, beurteilt diese Relation als plausibel und kongruent und erstellt aufgrund dessen eine Diagnose. Wenn nun aber, wie oben gesehen, die für die Beurteilung der asylrechtlichen Glaubhaftigkeit zuständige und kompetente Asylbehörde beziehungsweise Asylrekursbehörde den Verfolgungssachverhalt als unglaubhaft qualifiziert, wird dem auf dem Asylsachverhalt basierenden und medizinisch durchaus wissenschaftlich gewonnenen Arztbericht die entscheidende Grundlage für die medizinischen Schlussfolgerungen entzogen und er ist im vorliegenden Verfahren hinsichtlich des Asylpunktes nicht verwertbar. Eine allfällig dennoch bestehende Verwertbarkeit beispielweise im Hinblick auf die Frage des Wegweisungsvollzugs steht in casu prozessgegenständlich nicht (mehr) zur Diskussion. Abgesehen davon sind aber auch an den gegenüber dem beurteilenden Arzt mitgeteilten gesundheitlichen Beeinträchtigungen des Beschwerdeführers erhebliche Zweifel anzubringen, hat dieser doch in der Anhörung zu den Asylgründen mehrmals unmissverständlich zu Protokoll gegeben, es gehe ihm gesundheitlich gut (vgl. A13 S. 18 unten und S. 20 oben). Ihrer persönlichen Glaubwürdigkeit gänzlich verlustig gehen die Beschwerdeführenden durch ihre wiederholten tatsachenwidrigen Angaben zu den Ausreiseumständen und zu ihrer Passinhaberschaft. Erstere Feststellung räumten sie erst nachträglich auf mehrmaliges Insistieren ein. Die Passausstellungen haben sie gar bis zum heutigen Zeitpunkt und trotz erdrückender Beweislage weder zugegeben noch nachvollziehbar erklären können. Der Umstand, dass die Reisepässe bis zum heutigen Zeitpunkt von den Beschwerdeführern den schweizerischen Behörden nicht abgegeben wurden, stellt eine Missachtung der ihnen obliegenden Mitwirkungspflicht dar, und die Glaubhaftigkeit einer behördlichen Suche oder einer begründetermassen bestehenden Furcht vor Verfolgung aus Vorfluchtgründen rückt angesichts der legalen und kontrollierten Ausreise in die Ferne. Aufgrund des Gesagten ist festzuhalten, dass der von den Beschwerdeführenden präsentierte Verfolgungssachverhalt, soweit er Vorfluchtgründe beschlägt, überwiegend unwahrscheinlich und damit unglaubhaft ist. Es ergibt sich, dass die Beschwerdeführenden diesbezüglich keinen unter Art. 3 AsylG subsumierbaren Verfolgungssachverhalt haben glaubhaft machen können. Ein solcher ist im Übrigen auch nicht von Amtes aus dem Umstand ableitbar, dass der Familie der Schwester der Beschwerdeführerin aufgrund der originären Flüchtlingseigenschaft deren Ehemannes das Asyl gewährt wurde, denn die Beschwerdeführenden haben sich klar von einem Verfolgungszusammenhang zwischen den beiden Familien distanziert. 5.2 Eine asylsuchende Person ist als Flüchtling anzuerkennen, wenn sie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Das BFM hat den Beschwerdeführerenden somit die Asylberechtigung aufgrund der Ausschlussklausel von Art. 54 AsylG auch nach der wiedererwägungsweisen Zuerkennung der Flüchtlingseigenschaft zutreffend verwehrt, weshalb der auf Beschwerdeebene erneut gestellte Asylantrag auch unter diesem Aspekt abzuweisen ist. 5.3 Zusammenfassend ist festzustellen, dass das BFM das Bestehen einer glaubhaften und nach Art. 3 AsylG flüchtlingsrechtlich beachtlichen Verfolgungssituation der Beschwerdeführenden aus Vorfluchtgründen zu Recht verneint hat. Dementsprechend sowie in korrekter Anwendung des Art. 54 AsylG (subjektive Nachfluchtgründe) hat es die Gewährung des Asyls gesetzes- und praxiskonform verweigert. Die Beschwerde ist daher betreffend den Antrag auf Asylgewährung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 Diese Erkenntnisse werden denn auch in der Beschwerde substantiell nicht bestritten.</w:t>
      </w:r>
    </w:p>
    <w:p>
      <w:r>
        <w:rPr>
          <w:b/>
        </w:rPr>
        <w:t>E. 7</w:t>
      </w:r>
    </w:p>
    <w:p>
      <w:r>
        <w:t>Aus diesen Erwägungen ergibt sich, dass die angefochtene Verfügung, soweit sie nicht vom BFM selber in Wiedererwägung gezogen worden ist, Bundesrecht nicht verletzt, den rechtserheblichen Sachverhalt richtig und vollständig feststellt und angemessen ist (Art. 106 AsylG). Die Beschwerde ist nach dem Gesagten abzuweisen, soweit sie nicht als gegenstandslos geworden abzuschreiben ist. Es erübrigt sich vorliegend, auf die Beschwerdeanträge und -begründung und die im Verlaufe des Verfahrens eingereichten Beweismittel näher einzugehen.</w:t>
      </w:r>
    </w:p>
    <w:p>
      <w:r>
        <w:rPr>
          <w:b/>
        </w:rPr>
        <w:t>E. 8</w:t>
      </w:r>
    </w:p>
    <w:p>
      <w:r>
        <w:t>Bei diesem Ausgang des Verfahrens ist praxisgemäss von einem hälftigen Unterliegen der Beschwerdeführenden auszugehen. Dementsprechend sind die anteilsmässigen Kosten von Fr. 300.- den Beschwerdeführenden aufzuerlegen (Art. 63 Abs. 1 und 2 VwVG, Art. 1 - 3 des Reglements vom 21. Februar 2008 über die Kosten und Entschädigungen vor dem Bundesverwaltungsgericht [VGKE, SR 173.320.2]). Das Festhalten an der Beschwerde im Asylpunkt trotz mehrfach mitgeteilter diesbezüglicher Aussichtslosigkeit und vor allem angesichts der wiederholten offenkundigen Falschaussagen und Mitwirkungsverweigerung der Beschwerdeführenden hinsichtlich Passinhaberschaft und (Aus-) Reiseumstände muss vorliegend als mutwillig qualifiziert werden. Dieser Umstand rechtfertigt eine angemessene Erhöhung der Verfahrenskosten auf Fr. 600.- (vgl. Art. 2 Abs. 2 VGKE). Diese Kosten sind durch den am 22. Oktober 2009 geleisteten Kostenvorschuss vollumfänglich gedeckt und mit diesem zu verrechnen. Soweit das BFM wiedererwägungsweise auf die angefochtene Verfügung zurückgekommen ist und den Beschwerdeführenden aufgrund subjektiver Nachfluchtgründe die Flüchtlingseigenschaft zuerkannt und die vorläufige Aufnahme gewährt hat, sind sie, obwohl die Beschwerde diesbezüglich als gegenstandslos geworden abzuschreiben ist, als faktisch obsiegend zu betrachten. Sie haben daher in Anwendung von Art. 64 Abs. 1 VwVG und Art. 7 VGKE zulasten der Vorinstanz grundsätzlich Anspruch auf Ausrichtung einer (hälftig reduzierten) Parteientschädigung für die ihnen erwachsenen notwendigen und verhältnismässig hohen Kosten, soweit sie das teilweise Obsiegen betreffen. Die Beschwerdeführenden präsentieren hierzu eine Kostennote ihrer Vertreterin im Gesamtbetrag von Fr. 2'655.15. Der durch die Vertreterin getätigte Aufwand für das teilweise Obsiegen ist bei Betrachtung der auf Beschwerdestufe gemachten Eingaben umfangmässig als deutlich geringer einzustufen, als jener Aufwand, der für die Begründung des Asylantrags betrieben wurde. Der für das teilweise Obsiegen notwendige Vertretungsaufwand ist vorliegend unter Berücksichtigung der massgebenden Berechnungsfaktoren (Art. 7 Abs. 2 und Art. 8 ff. VGKE) auf Fr. 1'000. - (inkl. Auslagen und Mehrwertsteuer) festzusetzen.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