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E-6081/2020 vom 26. September 2022</w:t>
      </w:r>
    </w:p>
    <w:p>
      <w:r>
        <w:t>Bundesverwaltungsgericht, 2022-09-26, DE</w:t>
      </w:r>
    </w:p>
    <w:p>
      <w:r>
        <w:rPr>
          <w:b/>
        </w:rPr>
        <w:t xml:space="preserve">Quelle: </w:t>
      </w:r>
      <w:r>
        <w:t>https://mcp.opencaselaw.ch/entscheid/bvger_E-6081_2020</w:t>
      </w:r>
    </w:p>
    <w:p>
      <w:r>
        <w:t>FR: TAF E-6081/2020 du 26 septembre 2022</w:t>
      </w:r>
    </w:p>
    <w:p>
      <w:r>
        <w:t>IT: TAF E-6081/2020 del 26 settembre 2022</w:t>
      </w:r>
    </w:p>
    <w:p>
      <w:pPr>
        <w:pStyle w:val="Heading2"/>
      </w:pPr>
      <w:r>
        <w:t>Regeste</w:t>
      </w:r>
    </w:p>
    <w:p>
      <w:r>
        <w:t>Asyl und Wegweisung</w:t>
      </w:r>
    </w:p>
    <w:p>
      <w:pPr>
        <w:pStyle w:val="Heading2"/>
      </w:pPr>
      <w:r>
        <w:t>Erwägungen</w:t>
      </w:r>
    </w:p>
    <w:p>
      <w:r>
        <w:rPr>
          <w:b/>
        </w:rPr>
        <w:t>E. 1</w:t>
      </w:r>
    </w:p>
    <w:p>
      <w:r>
        <w:t>Gemäss Art. 31 VGG beurteilt das Bundesverwaltungsgericht Beschwer- den gegen Verfügungen nach Art. 5 VwVG und entscheidet auf dem Gebiet des Asyls in der Regel – so auch vorliegend – endgültig (Art. 105 AsylG; Art. 83 Bst. d Ziff. 1 BGG). Der Beschwerdeführer ist als Verfügungsadres- sat zur Beschwerdeführung legitimiert (Art. 48 Abs. 1 VwVG). Auf die frist- und formgerecht eingereichte Beschwerde ist einzutreten (Art. 108 Abs. 1 AsylG und Art. 52 Abs. 1 VwVG).</w:t>
      </w:r>
    </w:p>
    <w:p>
      <w:r>
        <w:t>E-6081/2020 Seite 5</w:t>
      </w:r>
    </w:p>
    <w:p>
      <w:r>
        <w:rPr>
          <w:b/>
        </w:rPr>
        <w:t>E. 2.1</w:t>
      </w:r>
    </w:p>
    <w:p>
      <w:r>
        <w:t>Die Kognition des Bundesverwaltungsgerichts und die zulässigen Rü- gen richten sich im Asylbereich nach Art. 106 Abs. 1 AsylG, im Bereich des Ausländerrechts nach Art. 49 VwVG (vgl. BVGE 2014/26 E. 5).</w:t>
      </w:r>
    </w:p>
    <w:p>
      <w:r>
        <w:rPr>
          <w:b/>
        </w:rPr>
        <w:t>E. 2.2</w:t>
      </w:r>
    </w:p>
    <w:p>
      <w:r>
        <w:t>Über offensichtlich unbegründete Beschwerden wird in einzelrichterli- cher Zuständigkeit mit Zustimmung eines zweiten Richters oder einer zwei- ten Richterin entschieden (Art. 111 Bst. e AsylG). Wie nachstehend aufge- zeigt, handelt es sich um eine solche, weshalb das Urteil nur summarisch zu begründen ist (Art. 111a Abs. 2 AsylG). Gestützt auf Art. 111a Abs. 1 AsylG wurde auf die Durchführung eines Schriftenwechsels verzichtet.</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Als ernsthafte Nachteile gelten namentlich die Gefährdung des Leibes, des Le- bens oder der Freiheit sowie Massnahmen, die einen unerträglichen psy- chischen Druck bewirken (vgl. Art. 3 AsylG).</w:t>
      </w:r>
    </w:p>
    <w:p>
      <w:r>
        <w:rPr>
          <w:b/>
        </w:rPr>
        <w:t>E. 3.2</w:t>
      </w:r>
    </w:p>
    <w:p>
      <w:r>
        <w:t>Die Flüchtlingseigenschaft muss nachweisen oder zumindest glaubhaft machen, wer um Asyl nachsucht (Art. 7 Abs. 1 AsylG). Glaubhaft gemacht ist die Flüchtlingseigenschaft, wenn die Behörde ihr Vorhandensein mit überwiegender Wahrscheinlichkeit für gegeben hält. Unglaubhaft sind ins- besondere Vorbringen, die in wesentlichen Punkten zu wenig begründet oder in sich widersprüchlich sind, den Tatsachen nicht entsprechen oder massgeblich auf gefälschte oder verfälschte Beweismittel abgestützt wer- den (Art. 7 Abs. 2 und 3 AsylG). Das Bundesverwaltungsgericht hat die An- forderungen an das Glaubhaftmachen der Vorbringen in einem publizierten Entscheid dargelegt und folgt dabei ständiger Praxis. Darauf kann hier ver- wiesen werden (vgl. BVGE 2015/3 E. 6.5.1, m.w.H.).</w:t>
      </w:r>
    </w:p>
    <w:p>
      <w:r>
        <w:rPr>
          <w:b/>
        </w:rPr>
        <w:t>E. 4</w:t>
      </w:r>
    </w:p>
    <w:p>
      <w:r>
        <w:t>Die Vorinstanz kommt in der angefochtenen Verfügung zum Schluss, vor dem Hintergrund, dass es sich beim Kosovo um einen verfolgungssicheren</w:t>
      </w:r>
    </w:p>
    <w:p>
      <w:r>
        <w:t>E-6081/2020 Seite 6 Staat handle, hätte sich der Beschwerdeführer an die staatlichen Schutz- behörden wenden können. Stattdessen habe er geltend gemacht, entspre- chende Hilfe nie in Anspruch genommen zu haben. Überdies seien seine Asylvorbringen unglaubhaft ausgefallen und stelle die geltend gemachte wirtschaftliche Situation keine Verfolgung im asylrechtlichen Sinne dar.</w:t>
      </w:r>
    </w:p>
    <w:p>
      <w:r>
        <w:rPr>
          <w:b/>
        </w:rPr>
        <w:t>E. 5.1</w:t>
      </w:r>
    </w:p>
    <w:p>
      <w:r>
        <w:t>Nach Prüfung der Akten durch das Gericht ist in Übereinstimmung mit der Vorinstanz festzustellen, dass die Vorbringen des Beschwerdeführers weder den Anforderungen an die Flüchtlingseigenschaft noch an das Glaubhaftmachen standzuhalten vermögen, weshalb vorab auf die zutref- fenden Erwägungen der Vorinstanz zu verweisen ist. Diese sind weder in tatsächlicher noch in rechtlicher Hinsicht zu beanstanden; formelle Rügen wurden zu Recht keine vorgebracht.</w:t>
      </w:r>
    </w:p>
    <w:p>
      <w:r>
        <w:rPr>
          <w:b/>
        </w:rPr>
        <w:t>E. 5.2</w:t>
      </w:r>
    </w:p>
    <w:p>
      <w:r>
        <w:t>Das Flüchtlingsrecht ist subsidiär ausgestaltet. Demnach ist eine Be- dürftigkeit nach internationalem Schutz dann anerkannt, wenn der Heimat- staat den Betroffenen keinen Schutz bieten will oder kann (vgl. Entschei- dungen und Mitteilungen der Schweizerischen Asylrekurskommission [EMARK] 2006 Nr. 18 E. 10.1). Der Schutz gilt als ausreichend, wenn im Heimatstaat eine funktionierende und effiziente Schutzinfrastruktur zur Verfügung steht, also in erster Linie polizeiliche Aufgaben wahrnehmende Organe und ein Rechts- und Justizsystem, das eine effektive Strafverfol- gung ermöglicht; diese Struktur muss den Betroffenen zugänglich sein (vgl. zu dieser sogenannten Schutztheorie BVGE 2011/51 E. 7.1–7.4). Der Kosovo zählt zu den verfolgungssicheren Staaten (sog. Safe Country) im Sinne von Art. 6a Abs. 2 Bst. a AsylG. Insofern gilt die Regelvermutung, dass im Kosovo keine asylrelevante staatliche Verfolgung stattfindet und Schutz vor nichtstaatlicher Verfolgung gewährleistet ist, womit sich weitere Abklärungen grundsätzlich erübrigen (Art. 40 AsylG i. V. m. Art. 6a Abs. 2 Bst. a AsylG). Es gelingt dem Beschwerdeführer weder in der Anhörung noch auf Beschwerdeebene diese Regelvermutung, wonach der Kosovo als verfolgungssicherer Staat schutzfähig und schutzwillig ist, umzustos- sen. Vielmehr machte er geltend, nie um Schutz bei den zuständigen Be- hörden ersucht zu haben (vgl. z. B. SEM-eAkten 41/19 F106 f.). Mit diesem Verzicht vermag er das Fehlen einer staatlichen Schutzfähigkeit und -wil- ligkeit nicht zu belegen. Seine pauschale Erklärung, er habe seine Prob- leme nicht zur Anzeige gebracht, da im Kosovo alle Polizisten und Richter korrupt seien, ist nicht geeignet, den Schutzwillen der Sicherheitsbehörden</w:t>
      </w:r>
    </w:p>
    <w:p>
      <w:r>
        <w:t>E-6081/2020 Seite 7 in Frage zu stellen. Dasselbe trifft für die im vorinstanzlichen Verfahren ein- gereichten Beweismittel zu. Es sind den Akten auch keine Gründe zu ent- nehmen, die es dem Beschwerdeführer – der seit dem Ursprung der ge- schilderten Probleme (also seit 1999) im Kosovo heiraten, eine Familie gründen, seinen Reisepass ausstellen lassen und später regelmässig dort- hin zurückehren konnte – nach seiner Rückkehr in den Heimatstaat verun- möglichen würden, bei den entsprechenden Behörden – sofern überhaupt notwendig – um Schutz zu ersuchen. Es trifft schliesslich zu, dass im Rah- men von Krieg oder Situationen allgemeiner Gewalt erlittene Nachteile oder Probleme wirtschaftlicher Natur keine Verfolgung im Sinne des Asyl- gesetzes darstellen und somit die diesbezüglichen Vorbringen des Be- schwerdeführers ebenfalls keine Asylrelevanz zu entfalten vermögen.</w:t>
      </w:r>
    </w:p>
    <w:p>
      <w:r>
        <w:rPr>
          <w:b/>
        </w:rPr>
        <w:t>E. 5.3</w:t>
      </w:r>
    </w:p>
    <w:p>
      <w:r>
        <w:t>Es ist somit festzustellen, dass es dem Beschwerdeführer nicht gelun- gen ist, einen flüchtlingsrechtlich bedeutsamen Sachverhalt darzulegen. Die Feststellung der Vorinstanz, der Beschwerdeführer erfülle die Flücht- lingseigenschaft nicht, ist dementsprechend zu bestätigen. Die Vorinstanz hat das Asylgesuch zu Recht abgelehnt.</w:t>
      </w:r>
    </w:p>
    <w:p>
      <w:r>
        <w:rPr>
          <w:b/>
        </w:rPr>
        <w:t>E. 6</w:t>
      </w:r>
    </w:p>
    <w:p>
      <w:r>
        <w:t>Gemäss Art. 44 AsylG verfügt das SEM in der Regel die Wegweisung aus der Schweiz, wenn es das Asylgesuch ablehnt oder darauf nicht eintritt. Der Beschwerdeführer verfügt zurzeit weder über eine ausländerrechtliche Aufenthaltsbewilligung noch über einen Anspruch auf Erteilung einer sol- chen (vgl. BVGE 2009/50 E. 9). Die Wegweisung wurde zu Recht ange- ordnet.</w:t>
      </w:r>
    </w:p>
    <w:p>
      <w:r>
        <w:rPr>
          <w:b/>
        </w:rPr>
        <w:t>E. 7.1</w:t>
      </w:r>
    </w:p>
    <w:p>
      <w:r>
        <w:t>Ist der Vollzug der Wegweisung nicht zulässig, nicht zumutbar oder nicht möglich, regelt die Vorinstanz das Anwesenheitsverhältnis nach den gesetzlichen Bestimmungen über die vorläufige Aufnahme von Auslände- rinnen und Ausländern (Art. 44 AsylG; Art. 83 Abs. 1 AIG [SR 142.20]). Beim Geltendmachen von Wegweisungsvollzugshindernissen gilt gemäss Praxis des Bundesverwaltungsgerichts der gleiche Beweisstandard wie bei der Prüfung der Flüchtlingseigenschaft; das heisst, sie sind wenigstens glaubhaft zu machen (vgl. BVGE 2011/24 E. 10.2 m.w.H.).</w:t>
      </w:r>
    </w:p>
    <w:p>
      <w:r>
        <w:rPr>
          <w:b/>
        </w:rPr>
        <w:t>E. 7.2</w:t>
      </w:r>
    </w:p>
    <w:p>
      <w:r>
        <w:t>Nach Art. 83 Abs. 3 AIG ist der Vollzug nicht zulässig, wenn völkerrecht- liche Verpflichtungen der Schweiz einer Weiterreise der Ausländerin oder</w:t>
      </w:r>
    </w:p>
    <w:p>
      <w:r>
        <w:t>E-6081/2020 Seite 8 des Ausländers in den Heimat-, Herkunfts- oder einen Drittstaat entgegen- stehen.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 kommens vom 10. Dezember 1984 gegen Folter und andere grausame, unmenschliche oder erniedrigende Behandlung oder Strafe [FoK, SR 0.105]; Art. 3 EMRK). Weder aus den Akten noch aus der Beschwerde ergeben sich konkrete Anhaltspunkte dafür, dass der Beschwerdeführer für den Fall einer Aus- schaffung in den Kosovo dort mit beachtlicher Wahrscheinlichkeit einer nach Art. 3 EMRK oder Art. 1 FoK verbotenen Strafe oder Behandlung aus- gesetzt wäre. Der Vollzug der Wegweisung ist zulässig.</w:t>
      </w:r>
    </w:p>
    <w:p>
      <w:r>
        <w:rPr>
          <w:b/>
        </w:rPr>
        <w:t>E. 7.3</w:t>
      </w:r>
    </w:p>
    <w:p>
      <w:r>
        <w:t>Der Vollzug der Wegweisung kann nach Art. 83 Abs. 4 AIG unzumutbar sein, wenn der Ausländer oder die Ausländerin im Heimat- oder Herkunfts- staat auf Grund von Situationen wie Krieg, Bürgerkrieg, allgemeiner Gewalt und medizinischer Notlage konkret gefährdet ist. Im Kosovo herrscht keine Situation von Krieg, Bürgerkrieg oder allgemei- ner Gewalt. Der Bundesrat hat den Kosovo denn auch als Staat bezeich- net, in den eine Rückkehr in der Regel zumutbar ist (vgl. Art. 83 Abs. 3 AIG i.V.m. Art. 18 der Verordnung über den Vollzug der Weg- und Ausweisung sowie der Landesverweisung von ausländischen Personen [VVWAL, SR 142.281] und Anhang 2 der Verordnung). Der Beschwerdeführer bringt in der Beschwerde zwar vor, sein soziales Umfeld beschränke sich auf die Schweiz. Nach dem Tod seiner Grosseltern würden einzig sein Sohn, seine Ex-Frau sowie Cousinen und Cousins im Kosovo leben, wobei er zu letzteren keinen Kontakt pflege. Ausserdem sei er ursprünglich im Alter von zehn Jahren in die Schweiz gekommen, wo er inzwischen sehr gut integriert sei; er spreche Deutsch sowie Schweizer- deutsch und habe stets gearbeitet. Der Beschwerdeführer bringt hiermit jedoch keine stichhaltigen Einwände gegen die Zumutbarkeit des Wegwei- sungsvollzuges vor. An der zutreffenden Einschätzung der Vorinstanz ver- mag weder die Tatsache, dass er sich zwischenzeitlich über zwei Jahre länger in der Schweiz aufgehalten hat noch der Tod seiner Grosseltern et- was zu ändern. Sowohl seine erworbene Arbeitserfahrung als auch seine</w:t>
      </w:r>
    </w:p>
    <w:p>
      <w:r>
        <w:t>E-6081/2020 Seite 9 vielseitigen Sprachkenntnisse können ihm bei der Reintegration in seiner Heimat – wo er geboren wurde, ursprünglich aufgewachsen ist und später eine Familie gründen konnte – dienlich sein. Um Wiederholungen zu ver- meiden, ist auf die zutreffenden Erwägungen in der angefochtenen Verfü- gung zu verweisen (angefochtene Verfügung S. 6). Der Vollzug der Weg- weisung ist sowohl in genereller als auch individueller Hinsicht zumutbar.</w:t>
      </w:r>
    </w:p>
    <w:p>
      <w:r>
        <w:rPr>
          <w:b/>
        </w:rPr>
        <w:t>E. 7.4</w:t>
      </w:r>
    </w:p>
    <w:p>
      <w:r>
        <w:t>Nach Art. 83 Abs. 2 AIG ist der Vollzug auch als möglich zu bezeichnen, da der Beschwerdeführer über einen gültigen kosovarischen Reisepass verfügt und es überdies ihm obliegt, sich bei der zuständigen Vertretung des Heimatstaates allfällige weitere, für eine Rückkehr notwendigen Rei- sedokumente zu beschaffen (Art. 8 Abs. 4 AsylG und dazu BVGE 2008/34 E. 12).</w:t>
      </w:r>
    </w:p>
    <w:p>
      <w:r>
        <w:rPr>
          <w:b/>
        </w:rPr>
        <w:t>E. 7.5</w:t>
      </w:r>
    </w:p>
    <w:p>
      <w:r>
        <w:t>Die Vorinstanz hat den Vollzug demnach zu Recht als zulässig, zumut- bar und möglich erachtet. Damit fällt die Anordnung einer vorläufigen Auf- nahme ausser Betracht (Art. 83 Abs. 1–4 AIG). Das Eventualbegehren ist abzuweisen.</w:t>
      </w:r>
    </w:p>
    <w:p>
      <w:r>
        <w:rPr>
          <w:b/>
        </w:rPr>
        <w:t>E. 8</w:t>
      </w:r>
    </w:p>
    <w:p>
      <w:r>
        <w:t>Aus diesen Erwägungen ergibt sich, dass die angefochtene Verfügung Bundesrecht nicht verletzt und auch sonst nicht zu beanstanden ist (Art. 106 AsylG). Die Beschwerde ist abzuweisen. Nach dem Gesagten gibt es auch keinen Anlass zur Rückweisung der Sache an die Vorinstanz; das Subeventualbegehren ist ebenfalls abzuweisen.</w:t>
      </w:r>
    </w:p>
    <w:p>
      <w:r>
        <w:rPr>
          <w:b/>
        </w:rPr>
        <w:t>E. 9</w:t>
      </w:r>
    </w:p>
    <w:p>
      <w:r>
        <w:t>Das SEM hat in seiner Verfügung irrtümlicherweise ein falsches Datum als Ausreisefrist angesetzt (vgl. Dispositivziffer 4) und ist deshalb anzuweisen, dem Beschwerdeführer eine korrekte Ausreisefrist anzusetzen.</w:t>
      </w:r>
    </w:p>
    <w:p>
      <w:r>
        <w:rPr>
          <w:b/>
        </w:rPr>
        <w:t>E. 10.1</w:t>
      </w:r>
    </w:p>
    <w:p>
      <w:r>
        <w:t>Der Beschwerdeführer beantragt die Gewährung der unentgeltlichen Rechtspflege gemäss Art. 65 Abs. 1 VwVG. Aufgrund der vorstehenden Erwägungen ergibt sich, dass seine Begehren als aussichtslos zu gelten haben. Damit ist eine der kumulativ zu erfüllenden Voraussetzungen nicht gegeben, weshalb dem Gesuch nicht stattzugeben ist.</w:t>
      </w:r>
    </w:p>
    <w:p>
      <w:r>
        <w:rPr>
          <w:b/>
        </w:rPr>
        <w:t>E. 10.2</w:t>
      </w:r>
    </w:p>
    <w:p>
      <w:r>
        <w:t>Bei diesem Ausgang des Verfahrens sind die Kosten von Fr. 750.– (Art. 1–3 des Reglements vom 21. Februar 2008 über die Kosten und Ent- schädigungen vor dem Bundesverwaltungsgericht [VGKE], SR 173.320.2)</w:t>
      </w:r>
    </w:p>
    <w:p>
      <w:r>
        <w:t>E-6081/2020 Seite 10 dem Beschwerdeführer aufzuerlegen. Mit vorliegendem Urteil ist der An- trag auf Verzicht auf Erhebung eines Kostenvorschusses gegenstandslos geworden. (Dispositiv nächste Seite)</w:t>
      </w:r>
    </w:p>
    <w:p>
      <w:r>
        <w:t>E-6081/2020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