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E-6080/2012 vom 13. Dezember 2012</w:t>
      </w:r>
    </w:p>
    <w:p>
      <w:r>
        <w:t>Bundesverwaltungsgericht, 2012-12-13, DE</w:t>
      </w:r>
    </w:p>
    <w:p>
      <w:r>
        <w:rPr>
          <w:b/>
        </w:rPr>
        <w:t xml:space="preserve">Quelle: </w:t>
      </w:r>
      <w:r>
        <w:t>https://mcp.opencaselaw.ch/entscheid/bvger_E-6080_2012</w:t>
      </w:r>
    </w:p>
    <w:p>
      <w:r>
        <w:t>FR: TAF E-6080/2012 du 13 décembre 2012</w:t>
      </w:r>
    </w:p>
    <w:p>
      <w:r>
        <w:t>IT: TAF E-6080/2012 del 13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formgerechte eingereichte Beschwerde (Art. 108 Abs. 2 AsylG in der Fassung vom 28. September 2012 und Art. 52 VwVG) ist insoweit einzutreten.</w:t>
      </w:r>
    </w:p>
    <w:p>
      <w:r>
        <w:rPr>
          <w:b/>
        </w:rPr>
        <w:t>E. 1.2</w:t>
      </w:r>
    </w:p>
    <w:p>
      <w:r>
        <w:t>Soweit der Beschwerdeführer beantragt, das Urteil der Vorinstanz (recte: Justiz- und Sicherheitsdepartement des Kantons B._______) vom 28. Juni 2012 bzw. deren Beschluss vom 23. Oktober 2012 sei aufzuheben, ist das Bundesverwaltungsgericht zur Beurteilung der Beschwerde nicht zuständig. Darauf ist nicht einzutreten.</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stellt in prozessualer Hinsicht einen Sistierungsantrag, eventualiter einen Antrag auf Ergänzung der Beschwerde nach erneuter Einsicht in die Akten der Fremdenpolizei. Er begründet diese Anträge ausschliesslich mit einer Kritik am kantonalen, fremdenpolizeilichen Verfahren, das vom Bundesverwaltungsgericht nicht überprüft werden darf und ausserhalb des zulässigen Prozessgegenstandes liegt. Zudem könnte einem Antrag auf Beschwerdeergänzung ohnehin nur stattgegeben werden, wenn es der aussergewöhnliche Umfang oder die besondere Schwierigkeit einer Beschwerdesache erfordert (Art. 53 VwVG), was vorliegend nicht zutrifft. Was die Akteneinsicht anbelangt, so räumt der Beschwerdeführer selbst ein, dass er die fremdenpolizeilichen Akten am 18. Juli 2011 vollständig zugestellt erhalten hat (Beschwerde, Rz. 19). Schliesslich legt er mit keinem Wort dar, inwiefern eine neuerliche Akteneinsicht in der vorliegenden Beschwerdesache geeignet wäre, eine Ergänzung der Beschwerde zu rechtfertigen. Die prozessualen Anträge sind, soweit überhaupt zulässig, abzuweisen.</w:t>
      </w:r>
    </w:p>
    <w:p>
      <w:r>
        <w:rPr>
          <w:b/>
        </w:rPr>
        <w:t>E. 4.1</w:t>
      </w:r>
    </w:p>
    <w:p>
      <w:r>
        <w:t>Gemäss Art. 2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 Zur Begründung führt sie aus, der Beschwerdeführer habe sich anlässlich der Befragung zu wesentlichen Punkten widersprüchlich geäussert, namentlich betreffend die Dauer der zweiten Ehe sowie betreffend die Kenntnisse über seine Homosexualität. Sodann seien die Aussagen zu den Zwangsverheiratungen unsubstantiiert, wenig detailliert und ohne persönlichen Gehalt. Ferner sei nicht nachvollziehbar, dass er nach der ersten Scheidung erneut nach Mazedonien gereist sei, nachdem er bereits einmal zwangsverheiratet worden sei. Zur Flüchtlingseigenschaft stellt die Vorinstanz fest, Homosexualität sei in Mazedonien nicht strafbar. Was allfällige diskriminierende Handlungen durch die mazedonische Gesellschaft anbelange, so könne sich der Beschwerdeführer an die heimatlichen Behörden wenden, welche ihm Schutz gewähren könnten. Schliesslich handle es sich bei Mazedonien um einen verfolgungssicheren Staat (safe country).</w:t>
      </w:r>
    </w:p>
    <w:p>
      <w:r>
        <w:rPr>
          <w:b/>
        </w:rPr>
        <w:t>E. 5.2</w:t>
      </w:r>
    </w:p>
    <w:p>
      <w:r>
        <w:t>In der Rechtsmitteleingabe äussert sich der Beschwerdeführer weder zu den in der angefochtenen Verfügung aufgezeigten Unstimmigkeiten in seinen Aussagen noch zu den Erwägungen zur Flüchtlingseigenschaft. Statt dessen stellt er ausdrücklich in Aussicht, im Falle eines positiven Ausgangs des Verfahrens wegen Nichtverlängerung der Aufenthaltsbewilligung werde er die vorliegende Beschwerde zurückziehen. Damit hat er auf eine weitergehenden Stellungnahme verzichtet, weil die Beschwerdeschrift die Begehren und deren Begründung zu enthalten hat (vgl. Art. 52 VwVG). Die zutreffenden Erwägungen der Vorinstanz sind zu bestätigen. Der Beschwerdeführer hat demnach nichts vorgebracht, das geeignet wäre, die Flüchtlingseigenschaft nachzuweisen oder glaubhaft zu machen. Das Asylgesuch wurde zu Recht abgelehnt.</w:t>
      </w:r>
    </w:p>
    <w:p>
      <w:r>
        <w:rPr>
          <w:b/>
        </w:rPr>
        <w:t>E. 6</w:t>
      </w:r>
    </w:p>
    <w:p>
      <w:r>
        <w:t>Gemäss Art. 44 Abs. 1 AsylG verfügt das Bundesamt in der Regel die Wegweisung aus der Schweiz und ordnet den Vollzug an, wenn es das Asylgesuch ablehnt oder darauf nicht eintritt. Der Beschwerdeführer verfügt aktuell weder über eine ausländerrechtliche Aufenthaltsbewilligung noch über einen Anspruch auf Erteilung einer solchen (Art. 44 Abs. 1 AsylG; BVGE 2009/50 E. 9). Die Wegweisung ist nicht zu beanstanden.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Mazedonien dort mit beachtlicher Wahrscheinlichkeit einer nach Art. 3 EMRK oder Art. 1 FoK verbotenen Strafe oder Behandlung ausgesetzt wäre. Insbesondere vermag der Beschwerdeführer auch nichts aus Art. 8 EMRK zu seinen Gunsten abzuleiten. Den Akten sind keine Hinweise zu entnehmen, dass zwischen ihm und seinem Partner eine genügend nahe, echte und tatsächlich gelebte Beziehung besteht. Dafür fehlen insbesondere Hinweise, dass die Beziehungen gelebt wird, wie beispielsweise das Zusammenleben in einem gemeinsamen Haushalt, eine finanzielle Abhängigkeit oder speziell enge familiäre Bande (vgl. BGE 135 I 143). Der Vollzug der Wegweisung ist demnach sowohl im Sinne der asyl- als auch der völkerrechtlichen Bestimmungen zulässig.</w:t>
      </w:r>
    </w:p>
    <w:p>
      <w:r>
        <w:rPr>
          <w:b/>
        </w:rPr>
        <w:t>E. 8.2</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2009/28E. 9.3.1). Der Beschwerdeführer wendet gegen die Zumutbarkeit des Wegweisungsvollzugs ein, bei einer Rückkehr nach Mazedonien würde er wegen der gegen ihn verhängten und missachteten Ausreisesperre verhaftet und zu einer mindestens einjährigen Freiheitsstrafe verurteilt. Als Homosexueller sei er im Rahmen des Strafvollzugs wegen seiner Neigung in ernsthafter Weise gefährdet, schweren körperlichen Übergriffen Dritter ausgesetzt zu sein. Die Vorbringen des Beschwerdeführers werden nicht weiter substantiiert; insbesondere legt er nicht dar, inwieweit ihm eine Freiheitsstrafe wegen Missachtung der Ausreisesperre drohen sollte, die ein Wegweisungsvollzugshindernis darstellen könnte. Weiter ist festzuhalten, dass seine homosexuelle Neigung bei einer allfälligen Freiheitsstrafe weder dem Gefängnispersonal noch den übrigen Gefängnisinsassen bekannt sein wird. Sollte es deswegen dennoch zu Benachteiligen kommen, kann er sich an die zuständigen Behörden wenden und sich dagegen zur Wehr setzen. Homosexualität ist nicht strafbar in den Mazedonien. Weitergehend kann, um Wiederholungen zu vermeiden, auf die zutreffenden Erwägungen der Vorinstanz verwiesen werden, mit denen sich der Beschwerdeführer nicht auseinandersetzt. Der Vollzug der Wegweisung erweist sich als zumutbar.</w:t>
      </w:r>
    </w:p>
    <w:p>
      <w:r>
        <w:rPr>
          <w:b/>
        </w:rPr>
        <w:t>E. 8.3</w:t>
      </w:r>
    </w:p>
    <w:p>
      <w:r>
        <w:t>Der mazedonische Reisepass des Beschwerdeführers wurde anlässlich seiner Einreise nach Mazedonien konfisziert. In der Folge reiste er mit einem gefälschten Pass in die Schweiz ein. Es obliegt nun dem Beschwerdeführer, bei der Beschaffung eines gültigen Reisepapieres mitzuwirken, weshalb der Vollzug der Wegweisung im Sinne von Art. 83 Abs. 2 AuG möglich ist (Art. 8 Abs. 4 AsylG; BVGE 2008/34 E. 12).</w:t>
      </w:r>
    </w:p>
    <w:p>
      <w:r>
        <w:rPr>
          <w:b/>
        </w:rPr>
        <w:t>E. 9</w:t>
      </w:r>
    </w:p>
    <w:p>
      <w:r>
        <w:t>Nach dem Gesagten ergibt sich, dass die Vorinstanz die Flüchtlingseigenschaft ohne Verletzung von Bundesrecht verneint hat und die angefochtene Verfügung auch sonst nicht zu beanstanden ist (Art. 106 Abs. 1 AsylG). Die Beschwerde ist abzuweisen.</w:t>
      </w:r>
    </w:p>
    <w:p>
      <w:r>
        <w:rPr>
          <w:b/>
        </w:rPr>
        <w:t>E. 10.1</w:t>
      </w:r>
    </w:p>
    <w:p>
      <w:r>
        <w:t>Der Beschwerdeführer beantragt die Gewährung der unentgeltlichen Rechtspflege gemäss Art. 65 Abs. 1 und 2 VwVG. Danach kann die Beschwerdeinstanz eine Partei, die nicht über die erforderlichen Mittel verfügt, auf Antrag von der Bezahlung der Verfahrenskosten befreien und wenn es zur Wahrung ihrer Rechte notwendig ist, einen Anwalt bestellen, sofern ihr Begehren nicht aussichtslos erscheint. Aufgrund der vorstehenden Erwägungen ergibt sich, dass das Begehren des Beschwerdeführer als aussichtslos zu gelten hat. Damit ist eine der kumulativ zu erfüllenden Voraussetzungen zur Gewährung der unentgeltlichen Prozessführung sowie Verbeiständung nicht gegeben, weshalb den Gesuchen nicht stattzugeben ist.</w:t>
      </w:r>
    </w:p>
    <w:p>
      <w:r>
        <w:rPr>
          <w:b/>
        </w:rPr>
        <w:t>E. 10.2</w:t>
      </w:r>
    </w:p>
    <w:p>
      <w:r>
        <w:t>Bei diesem Ausgang des Verfahrens sind die Kosten von Fr. 600.- (Art. 1 - 3 des Reglements vom 21. Februar 2008 über die Kosten und Entschädigungen vor dem Bundesverwaltungsgericht [VGKE], SR 173.320.2) dem Beschwerdeführer aufzuerlegen (Art. 63 Abs. 1 VwVG).</w:t>
      </w:r>
    </w:p>
    <w:p>
      <w:r>
        <w:rPr>
          <w:b/>
        </w:rPr>
        <w:t>E. 10.3</w:t>
      </w:r>
    </w:p>
    <w:p>
      <w:r>
        <w:t>Die übrigen prozessualen Anträgen (Antrag auf Wiederherstellung der aufschiebenden Wirkung sowie Antrag auf Gewährung des Replikrechts)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