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E-6076/2024 vom 13. November 2024</w:t>
      </w:r>
    </w:p>
    <w:p>
      <w:r>
        <w:t>Bundesverwaltungsgericht, 2024-11-13, FR</w:t>
      </w:r>
    </w:p>
    <w:p>
      <w:r>
        <w:rPr>
          <w:b/>
        </w:rPr>
        <w:t xml:space="preserve">Quelle: </w:t>
      </w:r>
      <w:r>
        <w:t>https://mcp.opencaselaw.ch/entscheid/bvger_E-6076_2024</w:t>
      </w:r>
    </w:p>
    <w:p>
      <w:r>
        <w:t>FR: TAF E-6076/2024 du 13 novembre 2024</w:t>
      </w:r>
    </w:p>
    <w:p>
      <w:r>
        <w:t>IT: TAF E-6076/2024 del 13 novembre 2024</w:t>
      </w:r>
    </w:p>
    <w:p>
      <w:pPr>
        <w:pStyle w:val="Heading2"/>
      </w:pPr>
      <w:r>
        <w:t>Regeste</w:t>
      </w:r>
    </w:p>
    <w:p>
      <w:r>
        <w:t>Asile et renvoi (procédure accélérée)</w:t>
      </w:r>
    </w:p>
    <w:p>
      <w:pPr>
        <w:pStyle w:val="Heading2"/>
      </w:pPr>
      <w:r>
        <w:t>Erwägungen</w:t>
      </w:r>
    </w:p>
    <w:p>
      <w:r>
        <w:rPr>
          <w:b/>
        </w:rPr>
        <w:t>E. 19</w:t>
      </w:r>
    </w:p>
    <w:p>
      <w:r>
        <w:t>août 2019 consid. 6.3.2 ; D-3261/2019 du 19 juillet 2019, p. 10 et jurisp. cit.), qu’à titre supplétif, il y a lieu de relever que, même si le recourant avait rendu vraisemblable sa conversion à la religion chrétienne et ses activités pour l’église « D._______ », ce qui n’est pas le cas comme exposé précédemment, il n’y aurait pas lieu d’admettre chez lui une crainte objectivement fondée d’être soumis à des persécutions pertinentes en matière d’asile, qu’en effet, les préjudices invoqués n’émaneraient pas d'une autorité étatique, mais uniquement de particuliers, que la crainte d'actes de représailles de la part de tiers ne revêt un caractère déterminant pour la reconnaissance de la qualité de réfugié que si l'Etat n'accorde pas la protection nécessaire, comme il en a la capacité et l'obligation (cf. ATAF 2013/5 consid. 5.4.3 ; 2011/51 consid. 6.1 et réf. cit. ; 2008/5 consid. 4),</w:t>
      </w:r>
    </w:p>
    <w:p>
      <w:r>
        <w:t>E-6076/2024 Page 10 qu’en l’occurrence, l'intéressé n'a en rien établi que les autorités sri- lankaises, dans leur ensemble, toléreraient ou soutiendraient des attaques telles que celles qu’il a alléguées, de la part de particuliers, ni qu’elles ne seraient pas en mesure de le protéger contre des menaces ou des agressions concrètes de tiers, que, pour le reste, les faits allégués par le recourant ne révèlent aucun facteur particulier à risque au sens de l’arrêt de référence du Tribunal E-1866/2015 du 15 juillet 2016 (cf. consid. 8.4 et 8.5), qu’en effet, compte tenu de ce qui précède, rien ne laisse à penser que les autorités sri-lankaises pourraient s’intéresser à lui en cas de retour dans son pays d’origine, que la situation actuelle au Sri Lanka, depuis les attentats d'avril 2019, est certes volatile ; que le Tribunal observe attentivement son évolution, de manière à pouvoir en tenir compte dans son appréciation ; qu’au vu des informations actuelles, on peut en effet s'attendre à une certaine aggravation du risque pour les personnes qui, déjà précédemment, présentaient des facteurs particuliers de risque (cf. à cet égard l'arrêt de référence E-1866/2015 précité) ; qu’en revanche, il n'y a pas de raison de penser que des groupes entiers de population, et singulièrement la population tamoule, sont de manière générale exposés, depuis le changement de gouvernement et les attentats de Pâques 2019, à un risque de sérieux préjudices (cf. par ex. les arrêts du Tribunal E-4362/2019 du 13 janvier 2022 consid. 3.4 ; E-2432/2020 du 16 juillet 2020 consid. 4.1- 4.2) ; que ce constat n'est pas modifié par les événements les plus récents, notamment la grave crise économique sévissant au Sri Lanka et les troubles qui ont mené à la fuite aux Maldives, le 13 juillet 2022, du Président alors en exercice, et son remplacement par Ranil Wickremesinghe, le 20 juillet suivant (cf., parmi d’autres, arrêts du Tribunal D-4930/2017 du 5 juillet 2024 consid. 3.5 s. ; E-1211/2020 du 13 mai 2024 consid. 5.5.2 ; E-6423/2020 du 20 février 2023 consid. 6.3), qu’en l’occurrence, le recourant n’a pas allégué avoir œuvré d’une quelconque manière en faveur des Tigres de libération de l'Eelam tamoul (ci-après : LTTE) et du séparatisme tamoul au Sri Lanka ; qu’il a expressément indiqué n’avoir jamais rencontré de problèmes avec les autorités sri-lankaises et n’avoir exercé aucune activité politique dans son pays d’origine (cf. pv de l’audition du 9 septembre 2024, Q. 85 et 86),</w:t>
      </w:r>
    </w:p>
    <w:p>
      <w:r>
        <w:t>E-6076/2024 Page 11 qu’en outre, rien dans son récit ne laisse transparaître un engagement politique particulier, postérieur à son départ du Sri Lanka, qui pourrait justifier objectivement une crainte fondée de persécution au sens de l’art. 3 LAsi, qu’à ce titre, son allégation présentée pour la première fois au stade du recours, selon laquelle il aurait adhéré en Suisse à l’église tamoule chrétienne de I._______ – une communauté accusée, selon lui, de « raviver les LTTE depuis Ia diaspora » – , se limite à une simple déclaration et ne repose sur aucun moyen de preuve concret (cf. mémoire de recours, p. 3), que, partant, il n’y a pas de facteurs le faisant apparaître, aux yeux des autorités sri-lankaises, comme étant susceptible de menacer l’unité ou la sécurité de son Etat (cf. arrêt de référence du Tribunal E-1866/2015 précité, consid. 8.5.1, 8.5.3 et 8.5.4), qu’il n’y a dès lors pas de raison de penser que son nom pourrait figurer sur une « Stop List » ou une « Watch List » utilisée par les autorités sri- lankaises à l'aéroport de Colombo, que les développements de nature générale et abstraite du recours, en lien en particulier avec la « surveillance de la diaspora » tamoule par les autorités sri-lankaises (cf. mémoire de recours, p. 4 ss), en tant qu’ils sont sans rapport direct avéré avec la personne du recourant, ne modifient pas l’appréciation qui précède et ne sont pas de nature à étayer ses craintes d'être exposé à une persécution future, qu’ainsi, en l'absence de facteurs de risques élevés, il y a lieu de retenir que l’appartenance de l’intéressé à l’ethnie tamoule, sa provenance du district de C._______, le dépôt d’une demande d’asile en Suisse et l'absence alléguée de passeport pour retourner au Sri Lanka représentent des facteurs de risque trop légers pour fonder une crainte objective de sérieux préjudices au sens de l'art. 3 LAsi (cf. arrêt de référence E-1866/2015 précité consid. 9.2.4 et 9.2.5 ; voir aussi arrêt du Tribunal E-4703/2017 et E-4705/2017 [causes jointes] du 25 octobre 2017 consid. 4.4 et 4.5 [arrêt en partie publié sous ATAF 2017 VI/6]), que, pour le surplus, il convient de renvoyer à la décision attaquée, celle-ci étant suffisamment motivée (cf. art. 109 al. 3 LTF, par renvoi de l'art. 4 PA) et le recours ne contenant aucun nouvel élément propre à en remettre en cause le bien-fondé,</w:t>
      </w:r>
    </w:p>
    <w:p>
      <w:r>
        <w:t>E-6076/2024 Page 12 qu’au vu de ce qui précède, compte tenu en particulier de l’invraisemblance des motifs d’asile du recourant, il est renoncé à ordonner l'enquête d'ambassade requise par celui-ci (cf. mémoire de recours p. 28), une telle mesure d'instruction n'apparaissant pas de nature à intéresser la cause, qu’il s’ensuit que le recours, en tant qu'il porte sur la reconnaissance de la qualité de réfugié et l’octroi de l’asile, doit est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 qu’a contrario, l'exécution du renvoi est ordonnée lorsqu'elle est licite, raisonnablement exigible et possible, qu’en l’occurrence, malgré la conclusion subsidiaire tendant au prononcé d’une admission provisoire, force est de constater que le recours ne comporte aucune motivation sous cet angle, qu’en tout état de cause, comme le SEM l’a retenu à juste titre, l'exécution du renvoi de l’intéressé ne contrevient pas au principe de non-refoulement de l'art. 5 LAsi, celui-ci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cette mesure n’étant en l’occurrence contraire à aucun engagement de la Suisse relevant du droit international, qu'elle est également raisonnablement exigible (cf. art. 83 al. 4 LEI),</w:t>
      </w:r>
    </w:p>
    <w:p>
      <w:r>
        <w:t>E-6076/2024 Page 13 qu'en effet, malgré les troubles récents,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 de référence E-1866/2015 précité consid. 13), que la crise économique et financière à laquelle est confronté le pays depuis 2022 n’est pas susceptible de modifier cette appréciation (cf., parmi d’autres, l’arrêt du Tribunal D-4512/2020 du 12 mai 2023 p. 9 s. et réf. citée), qu'il ne ressort pas non plus du dossier que le recourant pourrait être mis en danger pour des motifs qui lui seraient propres, qu’il convient à ce titre de confirmer les facteurs favorables à sa réinsertion dans le district de C._______, mentionnés par le SEM dans la décision attaquée (à laquelle il est renvoyé sur ce point ; cf. consid. III ch. 2 p. 8) et demeurés incontestés dans le recours, que l'exécution du renvoi est enfin possible (cf. art. 83 al. 2 LEI ; cf. ATAF 2008/34 consid. 12 et jurisp. cit.), l’intéressé étant tenu, le cas échéant, de collaborer à l'obtention de documents de voyage lui permettant de retourner dans son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la demande d'assistance judiciaire partielle doit être rejetée, dès lors que les conclusions du recours paraissaient d'emblée vouées à l'échec, les</w:t>
      </w:r>
    </w:p>
    <w:p>
      <w:r>
        <w:t>E-6076/2024 Page 14 conditions cumulatives de l'art. 65 al. 1 PA n'étant ainsi pas réalisées, indépendamment de l'indigence du recourant, qu'en conséquence, il y a lieu de mettre les frais de procédure à la charge de l’intéressé, conformément à l’art. 63 al. 1 PA et aux art. 2 et 3 du règlement du 21 février 2008 concernant les frais, dépens et indemnités fixés par le Tribunal administratif fédéral (FITAF, RS 173.320.2),</w:t>
      </w:r>
    </w:p>
    <w:p>
      <w:r>
        <w:t>(dispositif : page suivante)</w:t>
      </w:r>
    </w:p>
    <w:p>
      <w:r>
        <w:t>E-6076/2024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