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E-6073/2018 vom 31. Oktober 2018</w:t>
      </w:r>
    </w:p>
    <w:p>
      <w:r>
        <w:t>Bundesverwaltungsgericht, 2018-10-31, DE</w:t>
      </w:r>
    </w:p>
    <w:p>
      <w:r>
        <w:rPr>
          <w:b/>
        </w:rPr>
        <w:t xml:space="preserve">Quelle: </w:t>
      </w:r>
      <w:r>
        <w:t>https://mcp.opencaselaw.ch/entscheid/bvger_E-6073_2018</w:t>
      </w:r>
    </w:p>
    <w:p>
      <w:r>
        <w:t>FR: TAF E-6073/2018 du 31 octobre 2018</w:t>
      </w:r>
    </w:p>
    <w:p>
      <w:r>
        <w:t>IT: TAF E-6073/2018 del 31 ottobre 2018</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Vorbehalt von Erwägung 1.2 - einzutreten (Art. 108 Abs. 2 AsylG und Art. 52 Abs. 1 VwVG).</w:t>
      </w:r>
    </w:p>
    <w:p>
      <w:r>
        <w:rPr>
          <w:b/>
        </w:rPr>
        <w:t>E. 1.2</w:t>
      </w:r>
    </w:p>
    <w:p>
      <w:r>
        <w:t>Da der Beschwerde von Gesetzes wegen aufschiebende Wirkung zukommt (Art. 55 Abs. 1 VwVG) und das SEM diese nicht entzogen hat, ist auf die Anträge, der Beschwerde sei die aufschiebende Wirkung zu erteilen und es seien superprovisorische Massnahmen anzuordnen, mangels eines Rechtsschutzinteresses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3.1</w:t>
      </w:r>
    </w:p>
    <w:p>
      <w:r>
        <w:t>Bei Beschwerden gegen einen Nichteintretensentscheid ist die Beurteilungskompetenz der Beschwerdeinstanz grundsätzlich auf die Frage beschränkt, ob die Vorinstanz zu Recht auf das Asylgesuch nicht eingetreten ist (vgl. BVGE 2012/4 E. 2.2).</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Der Beschwerdeführer rügt eine Verletzung des rechtlichen Gehörs, da die Vorinstanz den Schutz vor Rückschiebung nach Art. 5 AsylG nur kurz erwähnt, sich aber nicht zu seinem hohen Risikoprofil als bekannte Person der kurdischen Bewegung geäussert habe. Bei diesem Vorbringen handelt es sich um eine formelle Rüge, welche vorab zu beurteilen ist, da sie allenfalls geeignet wäre,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4.3</w:t>
      </w:r>
    </w:p>
    <w:p>
      <w:r>
        <w:t>Entgegen der Ansicht des Beschwerdeführers hat die Vorinstanz ihre Auffassung, Südafrika biete effektiven Schutz vor Rückschiebung im Sinne von Art. 5 Abs. 1 AsylG, einlässlich begründet. Eine vertiefte Prüfung seiner Asylvorbringen war nicht angezeigt, da es im vorinstanzlichen Verfahren nur darum ging abzuklären, ob Südafrika als sicherer Drittstaat gelte und der Beschwerdeführer dorthin zurückkehren könne.</w:t>
      </w:r>
    </w:p>
    <w:p>
      <w:r>
        <w:rPr>
          <w:b/>
        </w:rPr>
        <w:t>E. 4.4</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5.1</w:t>
      </w:r>
    </w:p>
    <w:p>
      <w:r>
        <w:t>Gemäss Art. 31a Abs. 1 Bst. c AsylG wird auf ein Asylgesuch in der Regel nicht eingetreten, wenn Asylsuchende in einen Drittstaat zurückkehren können, in welchem sie sich vorher aufgehalten haben. Diese Bestimmung findet keine Anwendung, wenn Hinweise darauf bestehen, dass im Drittstaat kein effektiver Schutz vor Rückschiebung nach Art. 5 Abs. 1 AsylG besteht (Art. 31a Abs. 2 AsylG).</w:t>
      </w:r>
    </w:p>
    <w:p>
      <w:r>
        <w:rPr>
          <w:b/>
        </w:rPr>
        <w:t>E. 5.2</w:t>
      </w:r>
    </w:p>
    <w:p>
      <w:r>
        <w:t>Die Vorinstanz begründet ihren Entscheid damit, der Beschwerdeführer habe sich vor seiner Reise an den Flughafen Zürich während zwei bis drei Tagen in Südafrika aufgehalten. Südafrika verfüge über ein funktionierendes Rechtssystem und die dortigen Behörden seien schutzwillig und -fähig. Gemäss ihren Abklärungen sei in Südafrika der Zugang zum Asylsystem an allen Grenzposten gewährleistet. Personen, die sich nicht ausweisen könnten oder bei denen die Nationalität nicht festgestellt werden könne, würden möglicherweise in das Deportationszentrum Lindela überführt. In diesem sei der Zugang zu Rechtsvertretungen und zu medizinischer Versorgung gesichert. Zudem bestehe in Südafrika eine Vertretung des UNHCR und es gebe viele Organisationen, die Asylsuchenden wirksame Unterstützung geben könnten. Es gebe keine Hinweise dafür, dass in Südafrika kein effektiver Schutz vor Rückschiebung im Sinne von Art. 5 Abs. 1 AsylG bestehe. Die Rückkehr nach Südafrika sei auch tatsächlich möglich, da Personen, denen nach Erreichen eines internationalen Flughafens die Einreise in den Zielstaat verweigert werde, an den Ausgangspunkt ihrer Flugreise zurückkehren könnten, unbesehen davon, mit welchen Papieren sie die Reise absolviert hätten (Übereinkommen über die internationale Zivilluftfahrt vom 7. Dezember 1944 [Chicago-Übereinkommen]; Urteil des BVGer D-3117/2011).</w:t>
      </w:r>
    </w:p>
    <w:p>
      <w:r>
        <w:rPr>
          <w:b/>
        </w:rPr>
        <w:t>E. 5.3</w:t>
      </w:r>
    </w:p>
    <w:p>
      <w:r>
        <w:t>Der Beschwerdeführer bringt vor, er habe nie gesagt, dass er sich zwei bis drei Tage in Südafrika aufgehalten habe. Südafrika sei für ihn nur eine Durchreise gewesen, da er in die Schweiz gewollt habe. Aufgrund seiner jahrelangen Zugehörigkeit zur PKK sei er für die türkischen Behörden eine wichtige Person und sie würden versuchen, ihn zu entführen. Wegen seines Austritts aus der PKK sei er auch durch die PKK gefährdet. Bei einer Einreise in Südafrika bestehe die Gefahr, dass er wegen fehlender Reisedokumente verhaftet und nicht ins Asylverfahren aufgenommen werde. Zudem betrage die Ablehnungsquote von Asylgesuchen in Südafrika 96 %, was per se eine indirekte Refoulement-Gefahr darstelle.</w:t>
      </w:r>
    </w:p>
    <w:p>
      <w:r>
        <w:rPr>
          <w:b/>
        </w:rPr>
        <w:t>E. 5.4</w:t>
      </w:r>
    </w:p>
    <w:p>
      <w:r>
        <w:t>Der Beschwerdeführer bestreitet nicht, dass er von Südafrika in die Schweiz eingereist ist. Südafrika ist dem Protokoll über die Rechtsstellung der Flüchtlinge beigetreten und verpflichtet sich somit zur Einhaltung des Abkommens vom 28. Juli 1951 über die Rechtsstellung der Flüchtlinge (FK, SR 0.142.30) sowie des Non-Refoulement-Gebots (vgl. Art. I Abs. 1 des Protokolls über die Rechtstellung der Flüchtlinge, wonach die Vertragsparteien des Protokolls verpflichtet sind, Art. 2-34 FK anzuwenden). Ferner verfügt Südafrika über ein funktionierendes Rechtssystem und die dortigen Behörden sind schutzfähig und schutzwillig. Was der Beschwerdeführer anlässlich des rechtlichen Gehörs und auf Beschwerdeebene vorbringen, ist nicht geeignet, diese Regelvermutung umzustossen. Sofern er - wie angegeben - tatsächlich auf Schutz angewiesen sein sollte, kann er sich an die entsprechenden Behörden vor Ort wenden. Diese Auffassung entspricht der konstanten Praxis des Bundeverwaltungsgerichts (vgl. Urteile des BVGer D-5566/2018 vom 3. Oktober 2018, E-4456/2018 vom 14. August 2018, D-4372/2018 vom 3. August 2018 und D-575/2017 vom 2. Februar 2017). Um Wiederholungen zu vermeiden, ist auf die zutreffenden Erwägungen der Vorinstanz zu verweisen. Die auf Beschwerdeebene eingereichten Beweismittel vermögen daran nichts zu ändern. Die Vorinstanz ist somit zu Recht nicht auf das Asylgesuch des Beschwerdeführers eingetreten. Der Antrag, die Vorinstanz sei anzuweisen, eine Einreisebewilligung zu erteilen, ist somit abzuweisen.</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untersteht in Südafrika einem effektiven Refoulementschutz; er muss nicht befürchten, von Südafrika in die Türkei abgeschoben zu werden. Aus den Akten ergeben sich zudem keine konkreten Anhaltspunkte dafür, dass er für den Fall einer Ausschaffung nach Südafrika dort mit beachtlicher Wahrscheinlichkeit einer nach Art. 3 EMRK oder Art. 1 FoK verbotenen Strafe oder Behandlung ausgesetzt wäre. Der Vollzug der Wegweisung nach Südafrika ist folglich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Südafrika gilt als sicherer Drittstaat. Der Beschwerdeführer ist gesund und hat eine Ausbildung als Lehrer. An der Befragung gab er an, er habe seit längerer Zeit nicht mehr gearbeitet, aber dank dem Einkommen seiner Ehefrau und der finanziellen Unterstützung seiner Familie ein komfortables Leben geführt. Sein jüngerer Bruder sei Bauunternehmer in Australien und der andere Bruder sei im Kleidergrosshandel tätig; er könne auch jetzt Geld von seinen Geschwistern erhalten. Aufgrund dieser Angaben ist davon auszugehen, dass seine Ehefrau und seine Geschwister ihn weiter unterstützen würden. Der Wegweisungsvollzug ist somit auch in individueller Hinsicht zumutbar.</w:t>
      </w:r>
    </w:p>
    <w:p>
      <w:r>
        <w:rPr>
          <w:b/>
        </w:rPr>
        <w:t>E. 7.4</w:t>
      </w:r>
    </w:p>
    <w:p>
      <w:r>
        <w:t>Der Beschwerdeführer ist per Flugzeug von Südafrika in die Schweiz gereist, weshalb eine Rückkehr nach Südafrika tatsächlich möglich ist, da Personen, denen nach Erreichen eines internationalen Flughafens die Einreise verweigert wird, an den Ausgangspunkt der Flugreise zurückkehren können, unbesehen davon, mit welchen Papieren sie die Reise absolviert haben.</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darauf einzutreten ist, abzuweisen.</w:t>
      </w:r>
    </w:p>
    <w:p>
      <w:r>
        <w:rPr>
          <w:b/>
        </w:rPr>
        <w:t>E. 9.1</w:t>
      </w:r>
    </w:p>
    <w:p>
      <w:r>
        <w:t>Die gestellten Begehren erweisen sich als aussichtslos, weshalb die Gesuche um unentgeltliche Prozessführung und Beiordnung einer amtlichen Rechtsbeiständin ungeachtet einer allfälligen prozessualen Bedürftigkeit abzuweisen sind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Erhebung eines Kostenvorschusses ist mit vorliegendem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