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E-6069/2007 vom 6. April 2011</w:t>
      </w:r>
    </w:p>
    <w:p>
      <w:r>
        <w:t>Bundesverwaltungsgericht, 2011-04-06, DE</w:t>
      </w:r>
    </w:p>
    <w:p>
      <w:r>
        <w:rPr>
          <w:b/>
        </w:rPr>
        <w:t xml:space="preserve">Quelle: </w:t>
      </w:r>
      <w:r>
        <w:t>https://mcp.opencaselaw.ch/entscheid/bvger_E-6069_2007</w:t>
      </w:r>
    </w:p>
    <w:p>
      <w:r>
        <w:t>FR: TAF E-6069/2007 du 6 avril 2011</w:t>
      </w:r>
    </w:p>
    <w:p>
      <w:r>
        <w:t>IT: TAF E-6069/2007 del 6 aprile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(Art. 105 AsylG; Art. 83 Bst. d Ziff. 1 des Bundesgerichtsgeset­zes vom 17. Juni 2005 [BGG, SR 173.110]).</w:t>
      </w:r>
    </w:p>
    <w:p>
      <w:r>
        <w:rPr>
          <w:b/>
        </w:rPr>
        <w:t>E. 1.2</w:t>
      </w:r>
    </w:p>
    <w:p>
      <w:r>
        <w:t>Die Beschwerde ist frist- und formgerecht eingereicht (Art. 37 VGG i.V.m. Art. 50 Abs. 1 und Art. 52 VwVG). Der Beschwerdeführer ist durch die angefochtene Verfügung be­sonders berührt und hat ein schutzwürdi­ges Interesse an deren Aufhebung beziehungsweise Änderung; er ist da­her zur Einreichung der Beschwerde legitimiert (Art. 105 AsylG,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würdigte in seiner Verfügung vom 13. Au­gust 2007 die Asylvor­bringen des Beschwerdeführers als un­glaubhaft. Zur Begründung führte es aus, die vom Beschwerdeführer zu Protokoll gegebenen Aussa­gen zum zeitlichen Ablauf der Ereignisse seien widersprüchlich. An­läss­lich seiner Befragung im EVZ habe er nämlich angegeben, er habe den bei­den Männern am Mittwoch, dem 11. April 2007 C._______ ge­zeigt; anschlies­send sei er von den beiden bis in die Nähe seines Hau­ses ge­bracht wor­den. Obwohl sie gesagt hätten, sie würden am Freitag wie­der zu ihm kommen, seien sie nicht erschienen. Der Be­schwerdefüh­rer sei am Donnerstag auf eine Hoch­zeit gegangen und habe dort er­fah­ren, dass der Sicherheitsdienst ihn suche. Darauf angesprochen, dass zwi­schen dem 11. April 2007 und dem Ausreisedatum am 27. Mai 2007 etwa andert­halb Mo­nate liegen würden, habe er zu Protokoll gegeben, dass ihn die beiden Männer - jeweils an ei­nem Freitag - insgesamt dreimal nach C._______, einmal nach D._______ sowie ein­mal nach B._______ begleitet hät­ten; er habe dies während der Befragung im EVZ nicht erwähnt, weil ihn der Befrager aufgefordert habe, all­gemeiner zu sprechen (vgl. A1/10 S. 5 ff.). Gemäss Ansicht des BFM könne diese Aussage jedoch nicht ge­hört wer­den, weil der Beschwerdeführer anlässlich der Anhörung ebenfalls un­glaubhafte Anga­ben zum zeitli­chen Verlauf der Ereignisse gemacht habe. Zuerst habe er angegeben, am 23. Mai 2007 Schwierigkeiten bekommen zu haben; da­nach sei er drei Tage im Haus seines Onkels geblieben. Spä­ter habe er ausgeführt, erst­mals am 11. April 2007 mit den beiden Per­sonen in C._______ gewesen zu sein, das zweite Mal am übernächsten Freitag, den 20. April 2007, und das dritte Mal am darauffolgenden Frei­tag, also am 27. April 2007; am darauffol­genden Freitag, d.h. am 4. Mai 2007, habe er ihnen B._______ ge­zeigt und eine Woche später, also am 11. Mai 2007, D._______. An diesem Tag hätten die Män­ner gesagt, sie wür­den den Beschwerdeführer wieder am nächsten Freitag, folglich am 18. Mai 2007, treffen wol­len. Ei­nen Tag da­vor, am Donnerstag, den 17. Mai 2007, habe die Hochzeit ei­nes Freundes des Beschwerdeführers stattgefun­den; dieses Datum widerspreche aber gänzlich der Angabe des Beschwerdefüh­rers, er habe am 23. Mai 2007 Probleme bekommen und sei deshalb am 27. Mai 2007 ausge­reist. Darauf angespro­chen, habe er zu­erst gesagt, dies müsse am 20. bezie­hungsweise 23. gewesen sein - ohne allerdings zu erklä­ren, was er damit gemeint habe. Als man ihn darauf­hin gefragt habe, was an diesen beiden Daten passiert sei, habe er erneut behauptet, am Donnerstag, den 23. Mai 2007 auf der Hoch­zeit gewe­sen zu sein und an diesem Tag Probleme be­kommen zu haben. Tatsa­che sei aber, dass der 23. Mai 2007 ein Mittwoch gewesen sei. Zu­dem habe der Beschwer­defüh­rer widersprüchliche Angaben zum Ablauf der drei Fahn­dungen ge­macht. Im Verlauf der Befragung im EVZ habe er geschildert, dass der Si­cherheitsdienst beim zweiten Besuch den Va­ter des Beschwerdeführers aufge­fordert habe, er solle diesen zum Sicherheits­dienst be­glei­ten, sobald er von der Hochzeit zurückgekehrt sei (vgl. A1/10 S. 5). Bei der Anhörung habe er hingegen behauptet, diese Auf­forderung sei erst beim dritten Besuch der Sicherheits­leute gestellt wor­den. Auf den Wi­derspruch hingewiesen, habe er angegeben, die Auffor­derung sei beim dritten Mal geäussert worden; die Aussage anläss­lich der Befra­gung im EVZ habe er dagegen gar nie gemacht (vgl. A6/17 S. 9, 12). Gemäss Ansicht der Vorin­stanz handle es sich hierbei lediglich um eine Schutzbehauptung, zu­mal das Protokoll der Befragung im EVZ dem Beschwer­deführer rücküber­setzt worden sei, ohne dass dieser eine entsprechende Korrektur ange­bracht habe. Im Übrigen habe der Be­schwer­deführer anlässlich der Be­fragung im EVZ geschildert, sein Vater sei nach der Hochzeit zu sei­nem Onkel gekommen und habe vom Be­schwerdeführer Ge­naueres über die Gründe der Fahndung wissen wol­len; der Beschwerdeführer habe sei­nem Vater daraufhin alles er­zählt (vgl. A1/10 S. 5). Während der Anhö­rung habe er die Frage, ob er sei­nem Va­ter alles erzählt habe, was seit dem 10. April 2007 passiert sei, indessen ver­neint. Schliesslich sei nicht nachvoll­ziehbar, weshalb der Vater des Be­schwer­deführers, ein ehemali­ger [Beamter], ihn beim Onkel aufge­sucht ha­ben solle, denn mit dieser Vorgehens­weise habe er so­wohl den Beschwer­defüh­rer als auch den Onkel in höchste Gefahr gebracht. Folg­lich habe der Beschwerdefüh­rer seine Furcht, nach einer Rückkehr in den Irak umgebracht zu werden, nicht glaub­haft machen können.</w:t>
      </w:r>
    </w:p>
    <w:p>
      <w:r>
        <w:rPr>
          <w:b/>
        </w:rPr>
        <w:t>E. 4.2</w:t>
      </w:r>
    </w:p>
    <w:p>
      <w:r>
        <w:t>Demgegenüber wurde in der Be­schwerdeein­gabe entgegnet, beim Be­schwerdeführer handle es sich um einen Anal­phabeten, der weder le­sen noch schrei­ben könne und zudem nicht kommu­nikationsbe­gabt sei. Er habe nur die Zahlen von 1 bis 100 gelernt und sei keine ausgebil­dete Per­son, weshalb er auch keine bessere Arbeit als die Stelle als [Beruf] habe fin­den kön­nen. Bei der ersten Befragung habe man ihn ersucht, seine Anga­ben kurz zusammenzufassen, während er bei der Anhörung zwar habe frei spre­chen können, jedoch aufgefor­dert worden sei, sich auf seine Asylgründe zu beziehen. Er habe die beiden Männer zum ers­ten Mal am Mittwoch, dem 11. April 2007 getroffen; dies wisse er so ge­nau, weil er mit ihnen am übernächsten Freitag abgemacht habe und vor dem Treffen seinen Arbeitgeber habe informieren müssen. Wie der Be­schwerde­füh­rer bereits ausgeführt habe, hätten er und die beiden Män­ner fünf Mal eine Besichtigungsfahrt unternommen. Ende Mai, am Hoch­zeits­fest eines Freundes, hätten die Probleme angefangen. Im Übrigen sei zu er­wähnen, dass im Mai 2007 fünf Anschläge gegen die Hauptquar­tiere der politi­schen Parteien sowie gegen militärische und polizeiliche Kon­troll­stützpunkte und Patrouillen ausgeführt worden seien; es müsse in Be­tracht gezogen werden, dass die bei­den Männer, mit denen der Beschwer­deführer die Besichti­gungsfahrten unternommen habe, möglicher­weise in diese Sache involviert seien. Da der Beschwerdeführer unter dem Verdacht stehe, Kontakt mit Terroristen zu pflegen, und des­halb vom nordirakischen Si­cherheitsdienst gesucht werde, habe er auch keine Flucht­alternative im Land. Seine Befürchtung, in Zukunft inhaftiert und ernst­haften Nachtei­len ausgesetzt zu werden, sei objektiv betrachtet vorhan­den. Er habe zu den zentralen Asylgründen und seinen Be­fürchtun­gen plausible und nachvollziehbare Aussagen ge­macht. Die ihm von der Vorinstanz vorgeworfenen Widersprüche in seinen Angaben seien hinge­gen unwesentlich. Schliesslich sei es wissenschaftlich nachge­wiesen, dass kein Mensch ein Geschehen bei Wiederholung ge­nau gleich er­zäh­len könne.</w:t>
      </w:r>
    </w:p>
    <w:p>
      <w:r>
        <w:rPr>
          <w:b/>
        </w:rPr>
        <w:t>E. 5</w:t>
      </w:r>
    </w:p>
    <w:p>
      <w:r>
        <w:t>Nach Prüfung der Akten und der Vorbringen des Beschwer­deführers ge­langt das Gericht in Übereinstimmung mit der Vorinstanz zum Schluss, dass sich die Darstellungen des Be­schwerdeführers in unplausiblen Schilde­rungen erschöpfen und in wesentlichen Punkten zu wenig begrün­det oder in sich widersprüchlich sind. Die Aus­führungen betreffend den Ab­lauf der zeitlichen Ereignisse entbehren der inne­ren Logik, da der Be­schwerdefüh­rer - wie das Bundes­amt zutreffend ausführte - in der Anhö­rung geltend machte, er sei den beiden Männern erstmals am Diens­tag, dem 10. April 2007 begegnet; am darauffolgenden Tag habe er ihnen C._______ gezeigt; am übernächsten Freitag, dem 20. April 2007 sowie am Frei­tag, dem 27. April 2007 hätten sie sich wiederum getroffen und der Be­schwerdeführer habe ihnen ein drittes Mal die Stadt gezeigt; am Freitag, dem 4. Mai 2007 sei er mit den beiden Männern in B._______ unterwegs gewe­sen und das letzte Treffen habe am Freitag, dem 11. Mai 2007 in D._______ stattgefunden; am darauffolgenden Don­nerstag, dem 23. Mai 2007 sei er an einer Hochzeit gewesen und habe am sel­ben Tag Probleme bekom­men; daraufhin sei er drei Tage bei seinem Onkel verblieben und habe sein Heimatland am 27. Mai 2007 verlas­sen. Wie die Vorinstanz zu Recht und mit zutreffender Begründung ausführte, müsste es sich aber gestützt auf die Ausführungen des Beschwerdeführers und den logischen Ablauf der Ereignisse beim Hochzeitstag um den Donnerstag, 17. Mai 2007 gehan­delt haben. Ferner fiel der 23. Mai 2007 auf einen Mittwoch und nicht auf ei­nen Donnerstag. Auf diese Umstände angesprochen, erwi­derte der Beschwerdeführer, er habe am 23. Mai 2007 Probleme bekom­men und habe am 27. Mai 2007 sein Heimatland verlassen (vgl. A 6/17 S. 11). Überdies führte er aus, er sei Analphabet; zwar könne er die Zahlen von 1 bis 100 schreiben und lesen, er kenne jedoch die Schrift nicht; des­halb habe er auch das Personalienblatt nicht selber ausgefüllt (vgl. A6/17 S. 4f.). Den Angaben im Personalienblatt ist allerdings zu entnehmen, dass der Beschwerdeführer dieses selbständig ausgefüllt hat (vgl. A2/2). Zu­dem kennt er - wie die Vorinstanz zu Recht und zutreffend ausführte - die Geburtsjahre seiner Geschwister (vgl. A 1/10 S. 3). Anlässlich der Anhörung führte der Beschwerdeführer in Bezug auf die Fahndung aus, der Sicherheitsdienst habe ihn, während er an der Hoch­zeit eines Kollegen gewesen sei, drei Mal zu Hause aufgesucht. Beim ers­ten Aufsuchen hätten die Sicherheitsleute seinem Vater gegenüber ge­äussert, dass man mit dem Beschwerdeführer nur etwas besprechen wolle. Beim dritten und letzen Aufsuchen in der gleichen Nacht habe man dem Vater gesagt, er solle den Beschwerdeführer zum Sicherheitsdienst be­gleiten, sobald jener nach Hause zurückgekehrt sei. Der [Bekannte], ein [Beruf] beim Sicherheitsdienst, habe daraufhin dem Vater erzählt, dass die Behörden einen Mann verhaftet hätten, bei welchem es sich um einen Terroristen handle, der ausgesagt habe, der Beschwerdeführer habe ihn durch die Stadt C._______ geführt; man wolle den Beschwerdeführer deshalb vor Gericht stellen; der Vater solle sich aber keine Sorgen machen, das Ge­richt werde seinen Sohn schützen. Der Vater habe dem Beschwerdefüh­rer aber gesagt, wenn er sich bei den Behörden mel­de, würde man ihn ins Gefängnis stecken oder eventuell auch ver­schwin­den las­sen (vgl. A6/17 S.9). Während der Befragung im EVZ gab der Beschwer­deführer jedoch an, der Sicherheitsdienst habe beim zwei­ten Hausbesuch gesagt, der Vater solle seinen Sohn zum Sicherheits­dienst be­gleiten, sobald jener nach Hause zurückge­kehrt sei (vgl. A1/10 S. 5). Mit den widersprüchlichen Angaben konfron­tiert, behauptete der Be­schwer­deführer, diese Aufforderung sei erst beim dritten Besuch des Si­cher­heitsdienstes gestellt worden; er habe die Aus­sage während der Be­fra­gung im EVZ gar nie gemacht (vgl. A6/17 S. 12). Wie die Vorinstanz aber zu Recht und mit zutreffender Begründung ausführte, han­delt es sich hierbei um eine Schutzbehauptung des Beschwerdefüh­rers, wurde ihm das Befragungsprotokoll im EVZ immerhin rückübersetzt, ohne dass er eine entsprechende Korrektur anbrachte. Ferner gab der Beschwerdefüh­rer an, sein Va­ter habe die Befürchtung gehabt, dass der Si­cherheits­dienst möglicherweise das Haus beobachte und auch ihn be­schatte (vgl. A6/17 S. 9, 12). Folglich ist - wie die Vorinstanz bereits zutref­fend ausführte - aber nicht nachvollziehbar, weshalb der Vater, ge­mäss den Aus­sagen des Beschwerdeführers ein ehe­maliger [Beamter], den Beschwer­deführer beim Onkel aufgesucht und somit in Gefahr gebracht habe. Ferner widerspricht es der allgemeinen Er­fahrung und mutet unglaubhaft an, dass zwei fremde Männer - bei einem von ihnen handle es sich angeblich um einen Terroristen, der ver­haftet worden sei (vgl. A1/10 S.5, A 6/17 S.12) - einen [Beruf], der eige­nen Angaben zufolge ein Analphabet und Sohn eines ehemaligen [Beamter] ist, auf der Strasse ansprechen und ihm Geld geben, damit er ih­nen die Gegend zeigt, obwohl sie ihn weder kennen noch etwas über ihn wissen. Zudem ist es wenig verständlich, dass der Beschwerdeführer angeblich nach dem ersten Treffen mit fremden Leuten unter dem Vorwand, erkrankt zu sein, seine bisherige Arbeitsstelle aufgibt. Fraglich ist schliesslich, wie der Beschwerdeführer in den Besitz des Haft­befehls, welcher grundsätzlich nicht an den Betroffenen, sondern an die zu­ständigen Behörden gerichtet ist, gelangt ist. Die Erklärung des Be­schwerdefüh­rers, er habe für die Beibringung des Dokuments viele Leute fragen müs­sen, erscheint pauschal und unbehelflich und vermag letzt­lich nicht zu überzeugen. Überdies enthält der Haftbefehl, wie die Vorinstanz festgehalten hat, formale und inhaltliche Auffälligkeiten. Deren wesentli­che Aspekte wurden dem Beschwerdeführer zur Kenntnis gebracht (vgl. act. 11, Instruktionsverfügung vom 21. November 2008), ohne dass er sich indessen dazu geäussert hätte. Zudem erwähnte er weder in der Be­fragung noch in der Anhörung ei­nen ge­gen ihn ausgestellten Haftbe­fehl. Vor dem Hintergrund obiger Erwägungen vermögen mithin auch die übri­gen Ausführungen in der Rechtsmitteleingabe nicht zu überzeugen. Die Gründe, welche für die Richtigkeit der Sachverhaltsdarstellung des Be­schwerdeführers spre­chen, überwiegen folglich nicht. Die Vorinstanz hat aus die­sem Grund zu Recht und mit im Wesentlichen zutreffender Begrün­dung die Flüchtlingseigenschaft des Beschwerdefüh­rers verneint und sein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 jedoch 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Nordirak, wohin die Rückkehr des Beschwerdeführers in Frage steht, lässt den Wegwei­sungsvollzug zum heutigen Zeitpunkt nicht als unzu­lässig erscheinen (vgl. zur Sicherheitslage im Nordirak das weiterhin Gültigkeit beanspru­chende Urteil BVGE 2008/4).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Im hier interes­sierenden Zusammenhang hat das Bundesverwal­tungsgericht mit seinem Urteil BVGE 2008/5 eine Einschät­zung der Sicher­heitslage in den drei autonomen kurdischen Nordprovinzen Dohuk, Erbil und Suleimaniya vorgenom­men, die auch heute weiterhin Gültigkeit be­anspruchen kann. Es wurde festgestellt, dass in den drei kurdischen Pro­vinzen keine Situation allgemeiner Gewalt herrscht und die dortige politi­sche Lage nicht dermassen angespannt ist, als dass eine Rückfüh­rung dorthin als generell unzumutbar betrachtet werden müsste beziehungs­weise Anlass zur An­nahme einer konkreten Gefährdung be­stehe. Die Anord­nung des Wegweisungsvollzugs setzt jedoch voraus, dass die betreffende Person entweder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Die Anordnung des Wegwei­sungsvollzugs ist in der Regel für alleinstehende, gesunde und junge kurdische Männer, die ursprünglich aus der Re­gion stammen, zumut­bar. Der Beschwerdeführer stammt aus B._______, [autonome kurdische Nordprovinz], wo er geboren sei und - abgesehen von der Flucht der Familie im Jahre (...), verbun­den mit einer [ein paar Jahre] Abwesenheit - bis zu seiner Ausreise gelebt habe. Sodann ver­fügt er dort über ein Familien­netz und kann daher zu sei­nen El­tern und Geschwistern zurückkehren, mit denen er bis zu seiner Aus­reise aus der Heimat zusammenlebte, wes­halb seine Wohnsituation als gesichert gelten kann. Ei­genen Anga­ben zufolge weist der Beschwerde­füh­rer zwar keine Schulbildung auf, ist aber jah­relang als [Beruf] tätig gewe­sen. Angesichts des Alters und des soweit ak­tenkundig gu­ten Gesundheitszustandes des Beschwerdeführers sowie sei­ner Berufs­erfahrung als [Beruf] ist davon auszugehen, dass er sich in seiner Hei­mat wieder in den Arbeitsmarkt integrieren wird. Folglich sind auch keine in­dividuellen Wegweisungshin­dernisse ersichtlich, die den Vollzug der Weg­weisung als unzumutbar erscheinen lassen. Nach dem Gesagten er­weist sich der Vollzug der Wegweisung auch als zumutbar.</w:t>
      </w:r>
    </w:p>
    <w:p>
      <w:r>
        <w:rPr>
          <w:b/>
        </w:rPr>
        <w:t>E. 7.5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7.6</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dem Beschwerdefüh­rer aufzuerlegen (Art. 63 Abs. 1 und 5 VwVG). Nachdem das vom Be­schwerdeführer in seiner Rechtsmitteleingabe vom 12. Septem­ber 2007 gestellte Ge­such um Gewährung der unentgeltlichen Rechtspflege mit Ver­fügung des Bundesverwaltungsgerichts vom 17. September 2007 auf ei­nen späteren Zeitpunkt verwie­sen wurde, ist im Urteilszeitpunkt darüber zu befinden. Die Beschwerdebegehren sind im Zeit­punkt ihrer Einrei­chung als nicht aussichtslos zu qualifizieren. Auf Grund der Akten­lage muss der Beschwerdeführer als bedürftig betrachtet wer­den, weshalb das Gesuch um Gewährung der unentgeltli­chen Rechts­pflege im Sinne des Art. 65 Abs. 1 VwVG gutzuheissen und auf die Erhe­bung von Verfahrenskosten zu ver­zichten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