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E-6066/2011 vom 29. November 2013</w:t>
      </w:r>
    </w:p>
    <w:p>
      <w:r>
        <w:t>Bundesverwaltungsgericht, 2013-11-29, DE</w:t>
      </w:r>
    </w:p>
    <w:p>
      <w:r>
        <w:rPr>
          <w:b/>
        </w:rPr>
        <w:t xml:space="preserve">Quelle: </w:t>
      </w:r>
      <w:r>
        <w:t>https://mcp.opencaselaw.ch/entscheid/bvger_E-6066_2011</w:t>
      </w:r>
    </w:p>
    <w:p>
      <w:r>
        <w:t>FR: TAF E-6066/2011 du 29 novembre 2013</w:t>
      </w:r>
    </w:p>
    <w:p>
      <w:r>
        <w:t>IT: TAF E-6066/2011 del 29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Medienmitteilungen des BFM vom 4. September 2013).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6. Oktober 2011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und die Sache zur vollständigen Sachverhaltsfeststellung sowie zu neuer Entscheidung an die Vorinstanz zurückzuweisen. Die Akten sowie das Beschwerdedossier, welches ebenfalls Prozessstoff des vorinstanzlichen Verfahrens bilden wird, werden dem BFM zugestellt. Auf die weiteren Vorbringen in der Rechtsmit­telein­gabe ist aufgrund der vorliegenden Kassation zum heutigen Zeit­punkt nicht näher einzugehen.</w:t>
      </w:r>
    </w:p>
    <w:p>
      <w:r>
        <w:rPr>
          <w:b/>
        </w:rPr>
        <w:t>E. 3.4</w:t>
      </w:r>
    </w:p>
    <w:p>
      <w:r>
        <w:t>Bei diesem Ausgang des Verfahrens sind keine Kosten zu erheben (Art. 63 Abs. 1 und 2 VwVG). Das bereits bewilligte Gesuch um Gewährung der unentgeltlichen Rechtspflege im Sinne des Art. 65 Abs. 1 VwVG ist demnach gegenstandslos geworden. Dem Beschwerdeführer ist mit Zwischenverfügung vom 23. November 2013 für das Verfahren vor dem Bundesverwaltungsgericht ein amtlicher Rechtsbeistand beigeordnet worden. Angesichts seines Obsiegens ist ihm jedoch in Anwendung von Art. 64 VwVG und Art. 7 Abs. 1 des Reglements vom 21. Februar 2008 über die Kosten und Entschädigungen vor dem Bundesverwaltungsgericht (VGKE, SR 173.320.2) die Entschädigung für die ihm notwendigerweise erwachsenen Parteikosten durch das BFM zu entrichten, womit das Honorar als amtlicher Rechtsbeistand als beglichen gilt. In der Kostennote des Rechtsvertreters vom 13. September 2013 werden ein zeitlicher Aufwand von 5.35 Stunden, ausmachend Fr. 1332.40, sowie Auslagen in der Höhe von Fr. 32.- und ein Mehrwertsteuerbetrag von Fr. 109.15 ausgewiesen, welche insgesamt als angemessen zu werten sind. Unter Berücksichtigung der Bemessungsgrundsätze nach Art. 7 ff. VGKE ist dem Beschwerdeführer eine Parteientschädigung zu Lasten des BFM in Höhe von Fr. 1'473.55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