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E-6065/2006 vom 3. Januar 2011</w:t>
      </w:r>
    </w:p>
    <w:p>
      <w:r>
        <w:t>Bundesverwaltungsgericht, 2011-01-03, DE</w:t>
      </w:r>
    </w:p>
    <w:p>
      <w:r>
        <w:rPr>
          <w:b/>
        </w:rPr>
        <w:t xml:space="preserve">Quelle: </w:t>
      </w:r>
      <w:r>
        <w:t>https://mcp.opencaselaw.ch/entscheid/bvger_E-6065_2006</w:t>
      </w:r>
    </w:p>
    <w:p>
      <w:r>
        <w:t>FR: TAF E-6065/2006 du 3 janvier 2011</w:t>
      </w:r>
    </w:p>
    <w:p>
      <w:r>
        <w:t>IT: TAF E-6065/2006 del 3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Das Verfahren richtet sich nach dem VwVG, soweit das VGG nichts anderes bestimmt (Art. 37 VGG).</w:t>
      </w:r>
    </w:p>
    <w:p>
      <w:r>
        <w:rPr>
          <w:b/>
        </w:rPr>
        <w:t>E. 1.4</w:t>
      </w:r>
    </w:p>
    <w:p>
      <w:r>
        <w:t>Die Beschwerde ist frist- und formgerecht eingereicht. Der Beschwer­deführer ist durch die angefochtene Verfügung besonders berührt, hat ein schutzwürdiges Interesse an deren Aufhebung beziehungsweise Ände­rung und ist daher zur Einreichung der Beschwerde legitimiert (Art. 105 AsylG i.V.m. Art. 37 VGG, Art. 108 Abs. 1 AsylG, Art. 48 Abs. 1 und Art. 52 VwVG).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2.1</w:t>
      </w:r>
    </w:p>
    <w:p>
      <w:r>
        <w:t>Die Schweiz gewährt Flüchtlingen grundsätzlich Asyl (Art. 2 Abs. 1 AsylG). Gemäss Art. 3 AsylG wird eine ausländische Person als Flücht­ling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2.2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Zuerkennung der Flüchtlingseigenschaft ausserdem voraus, dass die betroffene Person in ihrem Heimatland keinen ausreichenden Schutz finden kann (vgl. Entscheide des Schweizerischen Bundesverwal­tungsgerichts [BVGE] 2008/4 E. 5.2, Entscheidungen und Mitteilungen der Schweizerischen Asylrekurskommission [EMARK] 2006 Nr. 18 E. 7 f., EMARK 2005 Nr. 21 E. 7).</w:t>
      </w:r>
    </w:p>
    <w:p>
      <w:r>
        <w:rPr>
          <w:b/>
        </w:rPr>
        <w:t>E. 2.3</w:t>
      </w:r>
    </w:p>
    <w:p>
      <w:r>
        <w:t>Wer um Asyl nachsucht, muss die Flüchtlingseigenschaft nachweisen oder zumindest glaubhaft machen. Grundsätzlich sind die Vorbringen eines Gesuchstellers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(Art. 7 AsylG; EMARK 2004 Nr. 1 E. 5a).</w:t>
      </w:r>
    </w:p>
    <w:p>
      <w:r>
        <w:rPr>
          <w:b/>
        </w:rPr>
        <w:t>E. 2.4</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2008/4 E. 5.4 und BVGE 2007/31 E. 5.3, mit wei­teren Hinweisen).</w:t>
      </w:r>
    </w:p>
    <w:p>
      <w:r>
        <w:rPr>
          <w:b/>
        </w:rPr>
        <w:t>E. 3.1</w:t>
      </w:r>
    </w:p>
    <w:p>
      <w:r>
        <w:t>Das BFM begründete seinen ablehnenden Asylentscheid mit dem Umstand, es lägen keine glaubhaften Hinweise vor, dass dem Be­schwerdeführer konkrete Nachteile im Heimatland drohen könnten. Mut­masslich verheimliche er vorgängige Aufenthalte in Drittländern, zumal er geltend gemacht habe, nicht zu wissen, durch welche Länder er von der Türkei her in die Schweiz gereist sei. Zudem sei im afghanischen Kontext wenig wahrscheinlich, dass er es im jungen Erwachsenenalter gewagt hätte, gegen den (...)jährigen Schwager eine Anzeige bei der Komman­dantur seines Wohnortes zu erstatten. Zudem sei der Schwager ein ein­flussreicher Talib gewesen, der die Regierungsleute gekannt habe und dem diese keinen Wunsch hätten abschlagen können. Vielmehr wäre bei dieser Sachlage zu erwarten gewesen, dass er mit der Unterstützung von Vermittlern versucht hätte, eine gütliche Einigung mit dem Schwager zu erreichen. Folglich sei die Anzeigestellung ebenso ein Konstrukt wie die angebliche Haft wegen der Abrechnung mit dem Islam. Weiter schildere er die Auflagen bei der Freilassung widersprüchlich. In der Erstbefragung habe er behauptet, persönlich eine Erklärung unterzeichnet zu haben, wonach er sich nie mehr negativ über den Islam äussern werde. Später soll sein einflussreicher Schwager bloss für ihn eine Garantie übernom­men haben. Weiter sei unwahrscheinlich, dass ein Moslem einen musli­mischen Freund, der als Regierungsfunktionär verdächtigt sei, mit ver­bundenen Augen zu einem Missionar geführt hätte. Im Kontext mit dem angeblichen Glaubenswechsel sei festzustellen, dass er mit dem Begriff "Sakramente" nichts anfangen und das Kreuzzeichen nicht korrekt vor­zeigen könne. Daher sei nicht glaubhaft, dass er zum Katholizismus kon­vertiert sei. Zudem schildere er die zweite, angeblich wegen einer in sei­ner Nähe ausgetragenen Schlägerei erfolgte Haft in widersprüchlicher Weise. Die Dauer dieser Haft habe er einmal mit mehr als fünf Monate, ein anderes Mal mit rund dreieinhalb Monate beziffert. In der Erstbe­fragung habe er nicht erzählt, dass gegen ihn ein Todesurteil verhängt worden sei, weil damals ein bedeutsamer Mullah ums Leben gekommen sei; er habe es beim Hinweis belassen, zu einer Gefängnisstrafe verurteilt worden zu sein. Somit sei auch die zweite Inhaftierung unglaubhaft. Das Asylgesuch sei abzulehnen und die Wegweisung zu verfügen.</w:t>
      </w:r>
    </w:p>
    <w:p>
      <w:r>
        <w:rPr>
          <w:b/>
        </w:rPr>
        <w:t>E. 3.2</w:t>
      </w:r>
    </w:p>
    <w:p>
      <w:r>
        <w:t>Der Argumentation des BFM wurde in der Beschwerde und den Er­gänzungen im Wesentlichen entgegengehalten, das BFM schätze die zentralen Angaben des Beschwerdeführers zu Unrecht als unglaubhaft ein. So hätte eine einberufene Loya Jirga unter Berücksichtigung der an­zuwendenden hanafitischen Rechtschule (madhhab), mithin einem Zu­sammentreffen der paschtunischen Stammesältesten, darüber beraten müssen, ob der (...) M. die (...) F. heiraten dürfe, was eine solche aber wohl getan hätte, da ihre Rechtsschule dies erlaubt hätte. Damit werde der Vorhalt des BFM, wonach der Beschwerdeführer wohl versucht hätte, mit Hilfe von Vermittlern eine gütliche Einigung zwi­schen den Familien zu erreichen, widerlegt. Deshalb habe der Beschwer­deführer auch den Gedanken an das Einschalten von Vermittlern ver­worfen. Die einzige realistische Möglichkeit habe für ihn darin bestanden, eine Anzeige gegen den Schwager einzureichen, auch wenn er selber nicht an einen Erfolg habe glauben können. Die Zweifel des BFM an der Anzeigeerstattung, den geschilderten Vorkommnissen und den Gefäng­nisaufenthalten seien somit unberechtigt. Weiter habe er eine Garan­tieerklärung unterzeichnet, und sein Schwager habe gegenüber der Gefängnisleitung nach der ersten Haft mündlich und nach der zweiten Haft schriftlich erklären müssen, er bürge für das künftige Verhalten des Be­schwerdeführers. Die vermeintlichen Divergenzen in den Anhörungen und die Unterlassung in der Erstanhörung, von der gegen ihn verhängten Todesstrafe zu spre­chen, seien auf Müdigkeit, Stress und Nervosität während der Anhö­rungen zurückzuführen. Zudem sei der Freund kein gläubiger Moslem. Er und sein Freund hätten schon Alkohol getrunken und über die Vorschrif­ten des Islam gelästert. Sein Freund habe zwar als Sohn eines Moslems gegolten und dieser Fassade aus Schutz vor Nachteilen in der Öffent­lichkeit nachgelebt. Indessen habe er sich in Wirklichkeit vom islamischen Glauben innerlich weitgehend distanziert. Somit gehe das BFM fehl, wenn es schliesse, beim Freund handle es sich um einen gläubigen Mos­lem. Zudem sei die Augenbinde verwendet worden, um ihm später zu ver­unmöglichen, im Fall einer Folterung den Weg zum Missionar beschrei­ben zu können. Einziger ausschlaggebender Beweggrund für seinen Übertritt zum Christentum sei gewesen, dass im Christentum die Heirat nie gutgeheissen worden wäre. Bei dieser Ausgangslage sei wohl ver­ständlich, dass er vieles über das Christentum nicht gewusst habe, auch wenn ihm der Missionar Bücher gegeben habe. Er habe jene Bücher noch nicht lesen können. In der Schweiz habe er sich keine auf Dari über­setzte Bibel beschaffen können. Er besuche sonntags die Kirche, obwohl er kein Wort verstehe. Somit sei die Tatsache einer Konversion glaubhaft gemacht. Die erste Haftdauer habe bis zum (...) und mithin vier Monate und 16 Tage gedauert. Da keine erheblichen Unstimmigkeiten vorlägen, sei an der Glaubhaftigkeit der Aussagen des Beschwerdeführers nicht zu zweifeln. Bezüglich der späteren Stellungnahmen des Beschwerdeführers und die damit eingereichten Unterlagen, namentlich der verschiedenen ärztlichen Atteste, kann auf die Akten verwiesen werden. Auf die unterschiedlichen Angaben zur Haftdauer ging der Beschwerdeführer dabei trotz Ankün­digung in der Beschwerdeschrift nicht ein.</w:t>
      </w:r>
    </w:p>
    <w:p>
      <w:r>
        <w:rPr>
          <w:b/>
        </w:rPr>
        <w:t>E. 3.3</w:t>
      </w:r>
    </w:p>
    <w:p>
      <w:r>
        <w:t>Dem Beschwerdeführer ist vorzuhalten, dass seine Angaben zu den Haftzeiten und -umständen, insbesondere zu den Anhaltungen, Fest­nahmen, Haftverläufen, Entlassungen und den damit verbundenen Fol­gen - auch in den ungesteuerten Phasen der Befragungen - durchwegs knapp, vage, unsubstantiiert und darüber hinaus widersprüchlich ausge­fallen sind. Seine geschilderten Erlebnisse und Ausreisemodalitäten neh­men keine realistisch anmutenden Konturen an; ihnen fehlen weitgehend die zu erwartenden Realkennzeichen. Der Erklärungsversuch, wonach die in den Anhörungen erfolgten Ungereimtheiten und das Verschweigen des eigenen Todesurteils an der ersten Anhörung ihren Grund in seinem grossen Schlafbedürfnis und seiner Nervosität anlässlich der Befragun­gen gehabt habe, überzeugt nicht. Die zentralen Asylangaben des Be­schwerdeführers bleiben damit nicht glaubhaft, und damit erscheint auch seine Verfolgung aus den angegebenen Gründen, in Übereinstimmung mit der Erkenntnis der Vorinstanz, als nicht glaubhaft gemacht. Ebenso kann seine in Afghanistan erfolgte Konversion zum Christentum nicht ge­glaubt werden. Seine Motivation für den Glaubenswechsel, die Umstände der Kontaktnahme mit einem Missionar und seine fehlenden Kenntnisse des christlichen Glaubens sowie der katholischen Konfession sprechen ein deutliches Bild dafür, dass die Konversion nicht stattgefunden hat und es sich bei ihm nicht um einen gläubigen Christen handelt. Dass er bei der Polizeibefragung vom 11. März 2009, die seiner Einweisung in die C._______vorangegangen ist, einen Koran auf sich getragen hat (act. 7 S. 6), zeigt im Übrigen seine andauernde Ver­bundenheit zum islamischen Glauben. Aber auch unabhängig vom Wahrheitsgehalt der Konversion steht fest, dass weder sein verwandt­schaftliches Umfeld noch die afghanischen Behörden von einer allfälligen Zuneigung des Beschwerdeführers zum christlichen Glauben Kenntnis gehabt haben. Zur Vermeidung von Wiederholungen in Bezug auf die Ungereimtheiten und die Beurteilung der Sachlage kann insgesamt auf die zutreffenden Erwägungen in der angefochtenen Verfügung verwiesen werden.</w:t>
      </w:r>
    </w:p>
    <w:p>
      <w:r>
        <w:rPr>
          <w:b/>
        </w:rPr>
        <w:t>E. 3.4</w:t>
      </w:r>
    </w:p>
    <w:p>
      <w:r>
        <w:t>Aufgrund der vorstehenden Erwägungen erübrigt es sich, auf die weiteren, die Flüchtlingseigenschaft beschlagenden Ausführungen in der Beschwerde oder auf die eingereichten Beweismittel (namentlich die gesundheitlichen Belege) näher einzugehen, da sie am Ausgang im Flüchtlings- und Asylpunkt nichts ändern können. Der Beschwerdeführer konnte keine Gründe nach Art. 7 AsylG nachweisen oder glaubhaft machen. Die Vorinstanz hat demnach zu Recht die Flüchtlingseigenschaft verneint und das Asylgesuch abgelehnt.</w:t>
      </w:r>
    </w:p>
    <w:p>
      <w:r>
        <w:rPr>
          <w:b/>
        </w:rPr>
        <w:t>E. 4.1</w:t>
      </w:r>
    </w:p>
    <w:p>
      <w:r>
        <w:t>Lehnt das Bundesamt das Asylgesuch ab oder tritt es darauf nicht ein, verfügt es in der Regel die Wegweisung aus der Schweiz (Art. 44 Abs. 2 AsylG). Die Wegweisung wird nicht verfügt, wenn die asylsu­chende Person im Besitz einer gültigen Aufenthalts- oder Niederlassungs­bewilligung ist oder Anspruch darauf hat. Ist der Vollzug der Wegweisung nicht zulässig, nicht zumutbar oder nicht möglich, regelt das Bundesamt das Anwesenheitsverhältnis nach den gesetzlichen Bestimmungen über die vorläufige Aufnahme von Ausländern (Art. 44 Abs. 2 - 4 AsylG; Art. 83 Abs. 1 des Bundesgesetzes vom 16. Dezember 2005 über die Auslände­rinnen und Ausländer [AuG, SR 142.20]). 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dazu BVGE 2009/51 E. 5.4 mit weiteren Hin­weisen). Gegen eine allfällige spätere Aufhebung der vorläufigen Aufnah­me würde der betroffenen asylsuchenden Person wieder die Beschwerde an das Bundesverwaltungsgericht offen stehen (vgl. Art. 105 AsylG i.V.m. Art. 44 Abs. 2 AsylG), wobei in einem Aufhebungsverfahren alle Vollzugs­hindernisse von Amtes wegen nach Massgabe der in diesem Zeitpunkt herrschenden Verhältnisse erneut zu prüfen wären (vgl. EMARK 2006 Nr. 6 E. 4.2, EMARK 1997 Nr. 27).</w:t>
      </w:r>
    </w:p>
    <w:p>
      <w:r>
        <w:rPr>
          <w:b/>
        </w:rPr>
        <w:t>E. 4.2</w:t>
      </w:r>
    </w:p>
    <w:p>
      <w:r>
        <w:t>Das BFM vertrat in der angefochtenen Verfügung die Auffassung, der Wegweisungsvollzug sei zulässig, da ihm keine völkerrechtlichen Rück­schiebungsverbote entgegenstünden. Er sei zumutbar, da in Afghanistan - bezogen auf den Zeitpunkt des Erlasses der Verfügung beziehungs­weise der Abfassung der Vernehmlassung: Juni bzw. September 2006 - keine Situation allgemeiner Gewalt herrsche. Mit der Stabilisierung der Regierung von Hamid Karzai durch den Westen sei die afghanische Be­völkerung nicht mehr konkret gefährdet. Die Sicherheitslage sei zwar nicht in allen Provinzen hinreichend stabilisiert, insbesondere nicht in den südlichen Landesteilen. Am 9. Oktober 2004 sei Hamid Karsai in den ersten demokratischen Wahlen des Landes als Präsident bestätigt wor­den. Die Regierung versuche nach diesen ersten demokratischen Wahlen die Situation in Afghanistan weiter zu stabilisieren und durch die Einbin­dung eines Grossteils der lokalen Machthaber und Paschtunenstämme den eigenen Einflussbereich auszudehnen. Zur Stabilisierung habe der zwar nur schleppend vorankommende Aufbau eines Sicherheitsappara­tes, das Entwaffnungsprogramm der Milizen, die am 19. Dezember 2005 erfolgte Amtseinsetzung des Parlaments, die Schutztruppe International Security and Assistance Force (ISAF), das Wiederaufbauteam Provincial Reconstruction Team (PRTs) und der Beschluss der internationalen Af­ghanistan-Konferenz von Anfang 2006 in London zur Förderung des Wie­deraufbaus des Landes beigetragen. Es gebe keine individuellen Gründe, die gegen die Zumutbarkeit einer Rückführung sprechen. Namentlich ver­füge der Beschwerdeführer über langjährige Erfahrungen im Handel und über ein familiäres Beziehungsnetz. Überdies soll gemäss seinen Anga­ben ein für afghanische Verhältnisse sehr hoher Geldbetrag für die Reise in die Schweiz aufgebracht worden sein, was darauf hinweise, dass seine Familie in guten wirtschaftlichen Verhältnissen lebe. Schliesslich könne er beim BFM Rückkehrhilfe in Form von individueller Finanzhilfe bean­tragen. Ausserdem sei der Vollzug technisch möglich.</w:t>
      </w:r>
    </w:p>
    <w:p>
      <w:r>
        <w:rPr>
          <w:b/>
        </w:rPr>
        <w:t>E. 4.3</w:t>
      </w:r>
    </w:p>
    <w:p>
      <w:r>
        <w:t>Seitens des Beschwerdeführers liegen keine Anträge bezüglich der Anordnung der Wegweisung und hinsichtlich des Bestehens von Weg­weisungsvollzugshindernissen vor. Allerdings verlangt der Beschwer­deführer in seinem ersten Beschwerdeantrag die Aufhebung der (ganzen) vorinstanzlichen Verfügung, weshalb die Punkte 3 bis 5 deren Dispositivs als mitangefochten gelten.</w:t>
      </w:r>
    </w:p>
    <w:p>
      <w:r>
        <w:rPr>
          <w:b/>
        </w:rPr>
        <w:t>E. 4.4</w:t>
      </w:r>
    </w:p>
    <w:p>
      <w:r>
        <w:t>Die Wegweisung ist Regelfolge der Abweisung eines Asylgesuchs (Art. 44 Abs. 1 AsylG). Da der Beschwerdeführer weder im Besitz einer aufenthaltsrechtliche Bewilligung ist, noch einen Anspruch darauf hat, wurde die Wegweisung vom BFM zu Recht verfügt. Die Beschwerde ist auch in diesem Punkt anzuweisen.</w:t>
      </w:r>
    </w:p>
    <w:p>
      <w:r>
        <w:rPr>
          <w:b/>
        </w:rPr>
        <w:t>E. 4.5</w:t>
      </w:r>
    </w:p>
    <w:p>
      <w:r>
        <w:t>Weil sich vorliegend der Vollzug der Wegweisung - aus den nach­folgend aufgezeigten Gründen - als unzumutbar erweist, kann von einer Erörterung der übrigen Voraussetzungen eines rechtmässigen Wegwei­sungsvollzugs abgesehen werden.</w:t>
      </w:r>
    </w:p>
    <w:p>
      <w:r>
        <w:rPr>
          <w:b/>
        </w:rPr>
        <w:t>E. 4.6</w:t>
      </w:r>
    </w:p>
    <w:p>
      <w:r>
        <w:t>GGemäss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4.6.1</w:t>
      </w:r>
    </w:p>
    <w:p>
      <w:r>
        <w:t>Die ARK setzte sich in EMARK 2003 Nr. 10 einlässlich mit der damaligen Lage in Afghanistan, insbesondere in der Hauptstadt Kabul, auseinander und umschrieb in EMARK 2003 Nr. 30 die Mindestanfor­derungen für die Durchführung eines Wegweisungsvollzugs nach Af­ghanistan. Infolge der damals im Vergleich zu anderen Regionen etwas günstigeren Situation erachtete die ARK den Wegweisungsvollzug nach Kabul unter bestimmten strengen Voraussetzungen, namentlich einem tragfähigen Beziehungsnetz und einer gesicherten Wohnsituation, als zu­mutbar. In EMARK 2006 Nr. 9 ergänzte sie ihre Rechtsprechung aus dem Jahr 2003 und bezeichnete auch den Wegweisungsvollzug in die Regionen Afghanistans, in welchen seit 2004 keine signifikanten militäri­schen Aktivitäten stattgefunden haben (namentlich die Provinzen Parwan, Baghlan, Takhar, Badakhshan, Kunduz, Balkh, Sari Pul, Herat und der Teil der Gegend von Samangan, der nicht zum Hazarajat gehört), als grundsätzlich zumutbar. In den anderen östlichen, südlichen und südöstli­chen Provinzen bestehe hingegen weiterhin eine allgemeine Gewaltsitua­tion, weshalb der Wegweisungsvollzug dorthin als grundsätzlich unzumut­bar zu betrachten sei.</w:t>
      </w:r>
    </w:p>
    <w:p>
      <w:r>
        <w:rPr>
          <w:b/>
        </w:rPr>
        <w:t>E. 4.6.2</w:t>
      </w:r>
    </w:p>
    <w:p>
      <w:r>
        <w:t>Der geltend gemachte Sachverhalt ist nur insoweit auf seine Glaubhaftigkeit zu überprüfen, als er im Hinblick auf den angefochtenen Wegweisungsvollzug relevant sein kann. Von Bedeutung sind im vorlie­genden Verfahren insbesondere die Angaben des Beschwerdeführers zu seiner Staatsangehörigkeit, Herkunft und Ethnie, zu seinem aktuellen fa­miliären und sozialen Beziehungsnetz in Afghanistan, seiner Vermögens­lage, seinem allfälligen Aufenthaltsstatus im Iran und seiner gesundheitli­chen und finanziellen Situation. Der Umstand, dass dem Beschwerdeführer die zentralen Asylangaben nicht geglaubt werden, spielt für die Beantwortung der Frage der Zumut­barkeit des Wegweisungsvollzugs nach Afghanistan insofern keine Rolle als jedenfalls seine Herkunft aus der Provinz B._______ nicht in Frage steht. Der Beschwerdeführer hat in all den Jahren seines Aufenthalts in der Schweiz keine rechtsgenüglichen Identitätspapiere oder Personalaus­weise abgegeben. Er hat allenfalls längere Zeit im Iran gelebt und bezüg­lich der Umstände der Ausreise sowie des Reisewegs bestehen etwelche Zweifel. Diese Zweifel sind indes, wie nachfolgend ausgeführt, vorliegend nicht von entscheidender Bedeutung.</w:t>
      </w:r>
    </w:p>
    <w:p>
      <w:r>
        <w:rPr>
          <w:b/>
        </w:rPr>
        <w:t>E. 4.6.3</w:t>
      </w:r>
    </w:p>
    <w:p>
      <w:r>
        <w:t>Von vornherein nicht in Betracht kommt ein Vollzug der Weg­weisung des Beschwerdeführers in den Iran, zumal ein längerer oder gar legaler Aufenthalt in diesem Land nicht erstellt ist. Ein Vollzug der Wegweisung dorthin könnte nur dann erfolgen, wenn die Möglichkeit einer legalen Wiedereinreise bestünde (vgl. EMARK 1997 Nr. 24, EMARK 1995 Nr. 22). Eine genauere Prüfung dieser Option ist nur schon deshalb müssig, weil der Beschwerdeführer einen allenfalls formellen Anspruch auf einen Aufenthalt im Iran zufolge der langen Landesabwesenheit ohne­hin verwirkt haben wird und eine allfällige frühere faktische Duldung nicht zu einer Einreisebewilligung führen würde.</w:t>
      </w:r>
    </w:p>
    <w:p>
      <w:r>
        <w:rPr>
          <w:b/>
        </w:rPr>
        <w:t>E. 4.6.4</w:t>
      </w:r>
    </w:p>
    <w:p>
      <w:r>
        <w:t>Seit der von der ARK festgelegten Praxis, welche vom Bundes­verwaltungsgericht weitergeführt wurde, hat sich die Sicherheitslage in fast allen Teilen Afghanistans verschlechtert. In mehreren der vormals von der ARK für eine Rückkehr noch als vergleichsweise sicher eingestuften Provinzen und auch in der Hauptstadt Kabul hat die Gefährdung der Zivilbevölkerung, namentlich als Folge der erstarkten Taliban und ihren zahlreichen Angriffen, zugenommen. Vor und nach den Präsidentschafts­wahlen vom 20. August 2009 und im Vorfeld der Parlamentswahlen vom 18. September 2010 ist es verbreitet zu Anschlägen gekommen. Wohl wurden die internationalen Schutztruppen erneut massiv verstärkt. Den­noch reissen die blutigen Gewaltaktionen in Afghanistan nicht ab, und die Sicherheitslage bleibt in den meisten Gebieten des Landes prekär, was ansatzweise aus den regelmässigen Medienberichten betreffend Kampf­einsätze, Verlustmeldungen von Angehörigen der Schutztruppen, zivile Opfer und landesweit verübte Anschläge hervorgeht. Die Frage, ob die von der ARK getroffene - und bislang vom Bundesverwaltungsgericht nicht ausdrücklich revidierte - Feststellung, dass die Rückführung von abgewiesenen Asylsuchenden in die oben namentlich erwähnten zehn Provinzen Afghanistans, darunter Herat, auch heute noch unter gewissen Voraussetzungen zumutbar ist, kann im vorliegenden Fall offen gelassen werden, weil der Beschwerdeführer die von der bisherigen Praxis gefor­derten strengen Anforderungen an eine zumutbare Rückkehr ohnehin nicht erfüllt.</w:t>
      </w:r>
    </w:p>
    <w:p>
      <w:r>
        <w:rPr>
          <w:b/>
        </w:rPr>
        <w:t>E. 4.6.5</w:t>
      </w:r>
    </w:p>
    <w:p>
      <w:r>
        <w:t>Die Auffassung des BFM, wonach der Beschwerdeführer über ein Beziehungsnetz verfügt und seine Familie ein ausreichendes wirtschaft­liches Auskommen hat, weshalb ihm diesbezüglich keine Nachteile in Afghanistan drohen, bleibt Spekulation. Abgesehen davon, dass an Verwandten nur die mit dem Talib verheiratete Schwester und die verwit­wete Mutter aktenkundig sind und von einem familiären Beziehungsnetz in Afghanistan nichts bekannt ist, kann in der hier vorliegenden Konstel­lation entgegen der Auffassung des BFM nicht mit genügender Wahr­scheinlichkeit auf eine ausreichende Tragfähigkeit des Beziehungsnetzes geschlossen werden. Dass seit der Ausreise aus Afghanistan mehrere Jahre verflossen sind - der Beschwerdeführer ist seit viereinhalb Jahren in der Schweiz und hat sein Heimatland möglicherweise schon einige Zeit vorher verlassen -, würde die Anknüpfung an alte Beziehungen und ein Appellieren an familiäre und freundschaftliche Unterstützungspflichten an sich schon nicht einfach machen. Wäre die Ausreise des Beschwerde­führers tatsächlich darin begründet, dass er sich der Verheiratung seiner Schwester widersetzt und sich geweigert hat, die durch ihre Verheiratung entstandene neue Situation zu anerkennen, wäre seine Wiederaufnahme in den Familienverbund noch problembehafteter. Er wäre beim Versuch des Aufbaus einer gesicherten Wohn- und Arbeitssituation in Herat (oder einer anderen der zehn in EMARK 2006 Nr. 9 erwähnten Provinzen) mit hoher Wahrscheinlichkeit in personeller und finanzieller Hinsicht auf sich allein gestellt. Die in den Akten liegenden ärztlichen Berichte zeigen auf, dass es sich beim Beschwerdeführer um eine Person mit psychotischen Störungen handelt, die wiederholt selbstverletzende Verhaltensweisen gezeigt hat, einen Suizidversuch hinter sich hat und zu Zwangshandlungen neigt. Auch wenn aufgrund der ärztlichen Berichte ein Simulieren beziehungs­weise gezieltes Übersteigern der auffälligen Verhaltensweisen nicht aus­geschlossen werden kann, dürfte die psychische Labilität des Beschwer­deführers doch erstellt sein. Dass für eine solche Person, die ausserhalb des eigenen Familienclans den Einstieg in den ohnehin schwierigen Ar­beitsmarkt im ihr mittlerweile wohl fremd gewordenen Heimatland Afgha­nistan zu finden sucht, die Prognosen selbst bei optimistischer Einschät­zung düster bleiben, braucht nicht weiter ausgeführt zu werden. In Berücksichtigung der gesamten Umstände ist somit ein Wegwei­sungsvollzug nach Afghanistan als nicht zumutbar zu bezeichnen.</w:t>
      </w:r>
    </w:p>
    <w:p>
      <w:r>
        <w:rPr>
          <w:b/>
        </w:rPr>
        <w:t>E. 4.6.6</w:t>
      </w:r>
    </w:p>
    <w:p>
      <w:r>
        <w:t>Trotz bestehender Unzumutbarkeit des Wegweisungsvollzugs wird gemäss Art. 83 Abs. 7 AuG die vorläufige Aufnahme unter anderem nicht verfügt, wenn die weggewiesene Person zu einer längerfristigen Frei­heitsstrafe verurteilt wurde oder wenn sie erheblich oder wiedeholt gegen die öffentliche Sicherheit und Ordnung in der Schweiz oder im Ausland verstossen hat oder diese gefährdet. Der Beschwerdeführer wurde viermal wegen Gesetzesverletzungen ver­urteilt (vgl. Sachverhalt Bst. I), nämlich wegen illegaler Einreise, Hausfrie­densbruchs, Schwarzfahrens sowie wegen Besitzes und Konsums von Betäubungsmitteln; dabei wurden Bussen zwischen Fr. 100.- und Fr. 420.- ausgesprochen. Dieses deliktische Verhalten stellt offensichtlich weder eine erhebliche Gefährdung der öffentlichen Sicherheit und Ordnung in der Schweiz noch eine Gefährdung der inneren oder äusseren Sicherheit der Schweiz dar. Gemäss der nach wie vor gültigen Praxis der ARK lässt selbst eine Verurteilung zu einer bedingten Freiheitsstrafe in der Regel noch nicht direkt auf eine schwerwiegende Gefährdung oder Verletzung der öffentlichen Sicherheit und Ordnung schliessen, da ein bedingter Strafvollzug eine günstige Prognose voraussetzt. Eine wiederholte De­liktsbegehung kann jedoch durchaus Anhaltspunkte für eine Gefährdung der öffentlichen Sicherheit und Ordnung geben (vgl. EMARK 1997 Nr. 24, EMARK 1995 Nr. 10). Da alle vier Strafverfahren mit der Ausfällung einer Busse geendet haben, liegt trotz des wiederholten Delinquierens kein gravierendes Fehlverhalten vor, dass die Anwendung von Art. 83 Abs. 7 Bst. b AuG rechtfertigen würde. Von der Regelfolge eines als unzumutbar erkannten Wegweisungsvollzuges ist mithin nicht abzuweichen, und der Beschwerdeführer ist vorläufig aufzunehmen. Er wird allerdings mit Nach­druck darauf hingewiesen, dass weitere Verstösse gegen die schweize­rische Rechtsordnung die Aufhebung der vorläufigen Aufnahme zur Folge haben können (vgl. Art. 84 Abs. 2 i.V.m. Art. 83 Abs. 7 AuG).</w:t>
      </w:r>
    </w:p>
    <w:p>
      <w:r>
        <w:rPr>
          <w:b/>
        </w:rPr>
        <w:t>E. 4.7</w:t>
      </w:r>
    </w:p>
    <w:p>
      <w:r>
        <w:t>Die Beschwerde ist bezüglich des Wegweisungsvollzugs gutzu­heissen und die Dispositivziffern 4 und 5 der angefochtenen Verfügung sind aufzuheben. Das BFM ist anzuweisen, den Beschwerdeführer in der Schweiz wegen Unzumutbarkeit des Wegweisungsvollzugs vorläufig auf­zunehmen (vgl. Art. 44 Abs. 2 AsylG und Art. 83 AuG).</w:t>
      </w:r>
    </w:p>
    <w:p>
      <w:r>
        <w:rPr>
          <w:b/>
        </w:rPr>
        <w:t>E. 5.1</w:t>
      </w:r>
    </w:p>
    <w:p>
      <w:r>
        <w:t>Nachdem der Beschwerdeführer mit seiner Beschwerde hinsichtlich der Verneinung der Flüchtlingseigenschaft und der Asylverweigerung un­terliegt, wären ihm an sich die auf die Hälfte reduzierten Kosten für das Beschwerdeverfahren im Betrag von Fr. 300.- aufzuerlegen (Art. 63 Abs. 1 VwVG). Nachdem indessen die Beschwerde nicht in allen Teilen aus­sichtslos erschien und die prozessuale Bedürftigkeit des Beschwerde­führers aktenmässig erstellt ist, ist das Gesuch um unentgeltliche Pro­zessführung im Sinne von Art. 65 Abs. 1 VwVG gutzuheissen. Von der Kostenauflage ist abzusehen.</w:t>
      </w:r>
    </w:p>
    <w:p>
      <w:r>
        <w:rPr>
          <w:b/>
        </w:rPr>
        <w:t>E. 5.2</w:t>
      </w:r>
    </w:p>
    <w:p>
      <w:r>
        <w:t>Dem vertretenen Beschwerdeführer ist angesichts seines hälftigen Obsiegens eine entsprechend reduzierte Entschädigung für ihm not­wendigerweise erwachsene und verhältnismässig hohe Parteikosten zuzusprechen (vgl. Art. 64 Abs. 1 VwVG). Der Rechtsvertreter bezifferte in der Honorarnote vom 23. November 2010 den Zeitaufwand auf 7,35 Stunden und machte bei einem Stun­denansatz von Fr. 200.- und Barauslagen von Fr. 62.- Aufwendungen von Fr. 1'648.45 (inklusive Mehrwertsteueranteil) geltend. Der in der Ho­norarnote angegebene Aufwand wird vom Gericht als grundsätzlich an­gemessen erachtet. Unter Berücksichtigung der Bemessungsgrundsätze (Art. 1 ff. des Reglements vom 21. Februar 2008 über die Kosten und Ent­schädigungen vor dem Bundesverwaltungsgericht [VGKE, SR 173.320.2]) ist dem Beschwerdeführer eine Parteientschädigung von total Fr. 820.- (inklusive Auslagen und Mehrwertsteueranteil) zuzusprechen, welcher Betrag vom BFM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