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E-6056/2024 vom 28. August 2024</w:t>
      </w:r>
    </w:p>
    <w:p>
      <w:r>
        <w:t>Bundesverwaltungsgericht, 2024-08-28, DE</w:t>
      </w:r>
    </w:p>
    <w:p>
      <w:r>
        <w:rPr>
          <w:b/>
        </w:rPr>
        <w:t xml:space="preserve">Quelle: </w:t>
      </w:r>
      <w:r>
        <w:t>https://mcp.opencaselaw.ch/entscheid/bvger_E-6056_2024_d20240828</w:t>
      </w:r>
    </w:p>
    <w:p>
      <w:r>
        <w:t>FR: TAF E-6056/2024 du 28 août 2024</w:t>
      </w:r>
    </w:p>
    <w:p>
      <w:r>
        <w:t>IT: TAF E-6056/2024 del 28 agosto 2024</w:t>
      </w:r>
    </w:p>
    <w:p>
      <w:pPr>
        <w:pStyle w:val="Heading2"/>
      </w:pPr>
      <w:r>
        <w:t>Regeste</w:t>
      </w:r>
    </w:p>
    <w:p>
      <w:r>
        <w:t>Asyl und Wegweisung | Asyl und Wegweisung; Verfügung des SEM vom 28. August 2024</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 Der Beschwerdeführer ist als Verfügungsadressat zur Beschwerdeführung legitimiert (Art. 48 VwVG). Auf die frist- und formgerecht eingereichte Be- schwerde ist einzutreten (Art. 105 und Art. 108 Abs. 1 AsylG i.V.m. Art. 52 Abs. 1 VwVG), nachdem auch der Kostenvorschuss fristgerecht geleistet worden ist.</w:t>
      </w:r>
    </w:p>
    <w:p>
      <w:r>
        <w:rPr>
          <w:b/>
        </w:rPr>
        <w:t>E. 1.2</w:t>
      </w:r>
    </w:p>
    <w:p>
      <w:r>
        <w:t>Die Kognition des Bundesverwaltungsgerichts und die zulässigen Rü- gen richten sich im Asylbereich nach Art. 106 Abs. 1 AsylG, im Bereich des Ausländerrechts nach Art. 49 VwVG (vgl. BVGE 2014/26 E. 5).</w:t>
      </w:r>
    </w:p>
    <w:p>
      <w:r>
        <w:rPr>
          <w:b/>
        </w:rPr>
        <w:t>E. 2</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w:t>
      </w:r>
    </w:p>
    <w:p>
      <w:r>
        <w:t>E-6056/2024 Seite 5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 gezählter Verfolgungsmotive zugefügt worden sind respektive zugefügt zu werden drohen. Eine begründete Furcht vor Verfolgung im Sinne von Art. 3 Abs. 1 AsylG liegt vor, wenn ein konkreter Anlass zur Annahme besteht, Letztere hätte sich – aus der Sicht im Zeitpunkt der Ausreise – mit beacht- licher Wahrscheinlichkeit und in absehbarer Zeit verwirklicht und/oder werde sich – auch aus heutiger Sicht – mit ebensolcher Wahrscheinlichkeit in absehbarer Zukunft verwirklichen. Es müssen demnach hinreichende Anhaltspunkte für eine konkrete Bedrohung vorhanden sein, die bei jedem Menschen in vergleichbarer Lage Furcht vor Verfolgung und damit den Ent- schluss zur Flucht hervorrufen würden. Die erlittene Verfolgung oder die begründete Furcht vor zukünftiger Verfolgung muss zudem sachlich und zeitlich kausal für die Ausreise aus dem Heimat- oder Herkunftsstaat und grundsätzlich auch im Zeitpunkt des Asylentscheides noch aktuell sein (vgl. BVGE 2011/51 E. 6, 2008/4 E. 5.2, je m.w.H.).</w:t>
      </w:r>
    </w:p>
    <w:p>
      <w:r>
        <w:rPr>
          <w:b/>
        </w:rPr>
        <w:t>E. 3.3</w:t>
      </w:r>
    </w:p>
    <w:p>
      <w:r>
        <w:t>Aufgrund der Subsidiarität des flüchtlingsrechtlichen Schutzes setzt die Anerkennung der Flüchtlingseigenschaft ausserdem voraus, dass die be- troffene Person in ihrem Heimatland keinen ausreichenden Schutz finden kann (vgl. BVGE 2011/51 E. 7, 2008/12 E. 7.2.6.2, 2008/4 E. 5.2).</w:t>
      </w:r>
    </w:p>
    <w:p>
      <w:r>
        <w:rPr>
          <w:b/>
        </w:rPr>
        <w:t>E. 3.4</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E-6056/2024 Seite 6</w:t>
      </w:r>
    </w:p>
    <w:p>
      <w:r>
        <w:rPr>
          <w:b/>
        </w:rPr>
        <w:t>E. 4.1</w:t>
      </w:r>
    </w:p>
    <w:p>
      <w:r>
        <w:t>Zur Begründung ihres Entscheids führt die Vorinstanz aus, die Vorbrin- gen des Beschwerdeführers seien nicht asylrelevant. Die geltend gemach- ten Unterdrückungen, Diskriminierungen, Drohungen und Misshandlungen gingen in ihrer Intensität nicht über die Nachteile hinaus, welche weite Teile der kurdischen und alevitischen Bevölkerung in ähnlicher Weise treffen könnten. Es sei ihm trotz der vorgebrachten Unterdrückung möglich gewe- sen, sein Studium abzuschliessen sowie die Prüfung zur (…) erfolgreich abzulegen. Ausserdem habe er trotz der Schwierigkeiten Berufserfahrun- gen sammeln können, weshalb es ihm zuzumuten sei, eine Erwerbstätig- keit ausserhalb des (…) auszuführen. Überdies seien die türkischen Be- hörden schutzwillig und schutzfähig. Falls er wieder Probleme mit Drittper- sonen habe, könne er die in der Türkei zur Verfügung stehenden Polizei- und Justizorgane in Anspruch nehmen. Es stehe ihm auch frei, sich an ei- nem anderen Ort innerhalb der Türkei niederzulassen. Es bestünden keine Hinweise darauf, dass die türkischen Behörden gegen ihn ermitteln wür- den. Sodann weise er kein politisches Profil auf, welches ein Interesse der türkischen Behörden wahrscheinlich erscheinen liesse. Sein politisches Engagement sei auf die Verteilung von Broschüren, die Teilnahme an der Organisation von Meetings und Veranstaltungen, die Empfangnahme von Abgeordneten sowie die Werbung für die Partei und das Teilen politischer Beiträge in den sozialen Medien beschränkt gewesen. Er sei kein Mitglied einer politischen Partei. Seine Beiträge in den sozialen Medien seien alle- samt nach seiner Ausreise aus der Türkei entstanden.</w:t>
      </w:r>
    </w:p>
    <w:p>
      <w:r>
        <w:rPr>
          <w:b/>
        </w:rPr>
        <w:t>E. 4.2</w:t>
      </w:r>
    </w:p>
    <w:p>
      <w:r>
        <w:t>Dem entgegnet der Beschwerdeführer in seiner Rechtsmitteleingabe, er habe wegen der Diskriminierung eine Klasse wiederholen müssen, was einen ernsthaften Nachteil darstelle. Er sei bereits flüchtlingsrechtlich rele- vanten Nachteilen ausgesetzt gewesen. Mit grosser Wahrscheinlichkeit werde gegen ihn ermittelt. Dies habe ihm sein Anwalt in der Türkei ange- kündigt. Beiträge in den sozialen Medien mit politischem Inhalt würden ge- nügen, um eine objektiv begründete Furcht vor zukünftiger Verfolgung zu bejahen.</w:t>
      </w:r>
    </w:p>
    <w:p>
      <w:r>
        <w:rPr>
          <w:b/>
        </w:rPr>
        <w:t>E. 5.1</w:t>
      </w:r>
    </w:p>
    <w:p>
      <w:r>
        <w:t>Die Vorinstanz ist zur zutreffenden Erkenntnis gelangt, dass die Vor- bringen des Beschwerdeführers nicht asylrelevant sind. Um Wiederholun- gen zu vermeiden, kann mit den nachfolgenden Ergänzungen auf die vor- instanzlichen Erwägungen verwiesen werden (vgl. angefochtene Verfü- gung Ziffer II, Zusammenfassung oben E. 4.1); diese sind nicht zu bean- standen.</w:t>
      </w:r>
    </w:p>
    <w:p>
      <w:r>
        <w:t>E-6056/2024 Seite 7</w:t>
      </w:r>
    </w:p>
    <w:p>
      <w:r>
        <w:rPr>
          <w:b/>
        </w:rPr>
        <w:t>E. 5.2</w:t>
      </w:r>
    </w:p>
    <w:p>
      <w:r>
        <w:t>In Übereinstimmung mit der Vorinstanz ist festzuhalten, dass die gel- tend gemachten Übergriffe von privaten Drittpersonen, welche gemäss den Aussagen des Beschwerdeführers Anhänger von rechten Gruppen (insbe- sondere von den «Grauen Wölfen») sind, nicht die erforderliche Intensität von asylrelevanten Nachteilen aufweisen. Ausserdem kann sich der Be- schwerdeführer für den Fall zukünftiger Schwierigkeiten an die türkischen Behörden wenden, welche auch in Bezug auf Angehörige der «Grauen Wölfe» schutzfähig und schutzwillig sind (vgl. Urteile des BVGer D-875/2025 vom 9. April 2025; D-1170/2025 vom 1. März 2025 m.w.H.).</w:t>
      </w:r>
    </w:p>
    <w:p>
      <w:r>
        <w:rPr>
          <w:b/>
        </w:rPr>
        <w:t>E. 5.3</w:t>
      </w:r>
    </w:p>
    <w:p>
      <w:r>
        <w:t>Der Beschwerdeführer gab mehrmals als prioritären Grund für seine Ausreise an, er habe beim Staat keine Anstellung erhalten (vgl. a.a.O. F5 f., Beschwerdeschrift S. 5). Auch wenn er davon ausgeht, dass dies mit sei- nem religiösen und ethnischen Hintergrund zusammenhängt (vgl. a.a.O. F5), weist diese Anstellungsverweigerung des Staates ebenfalls nicht die erforderliche Intensität von asylrelevanten Nachteilen auf. Dasselbe gilt of- fensichtlich für den Umstand, dass der Beschwerdeführer eine Klasse wie- derholen musste. Ungeachtet dessen besteht zwischen diesem Ereignis und seiner Ausreise im September 2023 kein zeitlicher Kausalzusammen- hang. Wie das SEM zu Recht festgestellt hat, war es ihm trotzdem möglich, die Schule, das Gymnasium und ein Studium abzuschliessen und die Prü- fung als (…) erfolgreich zu absolvieren (vgl. SEM act. […]-[nachfolgend: SEM act.] 13/7 F5).</w:t>
      </w:r>
    </w:p>
    <w:p>
      <w:r>
        <w:rPr>
          <w:b/>
        </w:rPr>
        <w:t>E. 5.4</w:t>
      </w:r>
    </w:p>
    <w:p>
      <w:r>
        <w:t>Auf Beschwerdeebene reicht der Beschwerdeführer ein türkisches Jus- tizdokument vom 27. Dezember 2024 des C._______ (in Kopie) nach, bei welchem es sich gemäss einer summarischen gerichtsinternen Überset- zung um einen Vorführbefehl zwecks Einvernahme angesichts eines ge- gen den Beschwerdeführer erhobenen Ermittlungsverfahrens wegen Ter- rorpropaganda handelt. Die Frage nach der Echtheit dieses Vorführbefehls kann angesichts des frühen Ermittlungsstadiums und aufgrund der nach- folgenden Erwägungen offen gelassen werden. Aus den Akten geht nicht hervor, weshalb die türkischen Behörden ein In- teresse am Beschwerdeführer haben sollten. Seine geltend gemachten op- positionell-politischen Aktivitäten (Teilnahme an der Organisation von Ver- anstaltungen, Empfang von Abgeordneten und Werbung [für die HDP]; Ver- teilen von Broschüren [für die YSP]; Teilnahme an Wahlveranstaltungen) zeugen von einem niederschwelligen politischen Engagement (vgl. SEM act. 13/7 F5, F8). Gemäss seinen Aussagen hat er in den sozialen Medien nicht viele politische Inhalte gepostet und wollte keiner politischen Partei</w:t>
      </w:r>
    </w:p>
    <w:p>
      <w:r>
        <w:t>E-6056/2024 Seite 8 beitreten, weil er einer öffentlichen Stelle nachgehen wollte (vgl. SEM act. 13/7 F27). Ausserdem ergeben sich aus den Akten keine Hinweise auf vorangehende strafrechtliche Verfahren, weshalb davon auszugehen ist, dass er strafrechtlich unbescholten ist. Auch die Verwandtschaft zu seinem Vater führt nicht zur Annahme eines exponierten politischen Profils. Dieser sei nach dem Militärputsch im Jahr 1980 – und somit 17 Jahre vor der Ge- burt des Beschwerdeführers – inhaftiert worden und habe deshalb später ebenfalls eine staatliche Stelle nicht erhalten (vgl. SEM act. 13/7 F5 f.). Dass er nun immer noch mit den damaligen Vorwürfen gegen seinen Vater in Verbindung gebracht oder wegen ihm in irgendeiner Weise verdächtigt würde, ist nicht anzunehmen. Sodann konnte der Beschwerdeführer nur Aktivitäten in den sozialen Me- dien belegen, welche von der Zeit nach seiner Einreise in die Schweiz am (…) September 2023 stammen. Dies, obwohl das entsprechende Online- Profil gemäss den beim SEM eingereichten Bildschirmfotos seit Januar 2020 besteht (vgl. SEM act. 24/21 S. 2). Das erstaunt umso mehr, als dass der Beschwerdeführer in der Anhörung was folgt anführte: «Bei den letzten Wahlen habe ich Posts über Kemal Kilicdaroglu veröffentlicht. Ich kann dann ein Screenshot von meinen Posts einreichen» (vgl. SEM act. 13/7 F26). Für diese oder andere Beiträge, welche vor seiner Ausreise aus der Türkei entstanden sein sollen, hat er aber keine Beweismittel eingereicht. Vollständigkeitshalber ist daher festzuhalten, dass insbesondere aufgrund der kurzen Dauer seiner (belegten) Aktivitäten in den sozialen Medien Zweifel an der Glaubhaftigkeit des geltend gemachten Ermittlungsverfah- ren angebracht sind. Nach dem Gesagten gibt es vorliegend keine Hinweise auf ein exponiertes politisches Profil. Eine begründete Furcht vor einer strafrechtlichen Verfol- gung und Verurteilung aus einem flüchtlingsrechtlich relevanten Motiv ist vor diesem Hintergrund zu verneinen.</w:t>
      </w:r>
    </w:p>
    <w:p>
      <w:r>
        <w:rPr>
          <w:b/>
        </w:rPr>
        <w:t>E. 5.5</w:t>
      </w:r>
    </w:p>
    <w:p>
      <w:r>
        <w:t>Die allgemeinen Schikanen und Diskriminierungen, welchen die kurdi- sche und alevitische Bevölkerung in der Türkei durchaus ausgesetzt ist, führen gemäss gefestigter Rechtsprechung für sich allein mangels Intensi- tät ebenfalls nicht zur Bejahung der Flüchtlingseigenschaft (vgl. statt vieler: Urteil des BVGer E-7507/2024 vom 10. Februar 2025 E. 6.7 m.w.H.). Dies gilt auch für das Vorbringen des Beschwerdeführers, sein alevitisch ge- prägtes Heimatdorf habe – im Gegensatz zum sunnitisch geprägten Nach- barsdorf – angesichts des Erdbebens keine staatliche Hilfe erhalten.</w:t>
      </w:r>
    </w:p>
    <w:p>
      <w:r>
        <w:t>E-6056/2024 Seite 9</w:t>
      </w:r>
    </w:p>
    <w:p>
      <w:r>
        <w:rPr>
          <w:b/>
        </w:rPr>
        <w:t>E. 5.6</w:t>
      </w:r>
    </w:p>
    <w:p>
      <w:r>
        <w:t>Zusammenfassend hat der Beschwerdeführer nichts vorgebracht, was geeignet wäre, seine Flüchtlingseigenschaft nachzuweisen oder zumindest glaubhaft zu machen. Die Vorinstanz hat daher sein Asylgesuch zu Recht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7.1</w:t>
      </w:r>
    </w:p>
    <w:p>
      <w:r>
        <w:t>Der Vollzug ist nicht zulässig, wenn völkerrechtliche Verpflichtungen der Schweiz (insbesondere Art. 5 Abs. 1 AsylG, Art. 33 Abs. 1 des Abkom- mens über die Rechtsstellung der Flüchtlinge [FK, SR 0.142.30], Art. 25 Abs. 3 BV, Art. 3 des Übereinkommens vom 10. Dezember 1984 gegen Folter und andere grausame, unmenschliche oder erniedrigende Behand- lung oder Strafe [FoK, SR 0.105] und Art. 3 EMRK) einer Weiterreise der Ausländerin oder des Ausländers in den Heimat-, Herkunfts- oder einen Drittstaat entgegenstehen (Art. 83 Abs. 3 AIG [SR 142.20]). Gemäss Art. 83 Abs. 4 AIG kann der Vollzug für Ausländerinnen und Ausländer un- zumutbar sein, wenn sie im Heimat- oder Herkunftsstaat aufgrund von Si- tuationen wie Krieg, Bürgerkrieg, allgemeiner Gewalt und medizinischer Notlage konkret gefährdet sind. Wird eine konkrete Gefährdung festge- stellt, ist – unter Vorbehalt von Art. 83 Abs. 7 AIG – die vorläufige Aufnahme zu gewähren. Der Vollzug ist schliesslich nicht möglich, wenn die Auslän- derin oder der Ausländer weder in den Heimat- oder in den Herkunftsstaat noch in einen Drittstaat ausreisen oder dorthin gebracht werden kann (Art. 83 Abs. 2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E-6056/2024 Seite 10</w:t>
      </w:r>
    </w:p>
    <w:p>
      <w:r>
        <w:rPr>
          <w:b/>
        </w:rPr>
        <w:t>E. 7.2</w:t>
      </w:r>
    </w:p>
    <w:p>
      <w:r>
        <w:t>Die Vorinstanz wies in ihrer angefochtenen Verfügung zutreffend darauf hin, dass das Prinzip des flüchtlingsrechtlichen Non-Refoulement nur Per- 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Nach den vorstehenden Ausführungen gelingt ihm das nicht.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7.3.1</w:t>
      </w:r>
    </w:p>
    <w:p>
      <w:r>
        <w:t>Auch unter Berücksichtigung des Wiederaufflammens des türkisch- kurdischen Konfliktes sowie der bewaffneten Auseinandersetzungen zwi- schen der PKK und staatlichen Sicherheitskräften seit Juli 2015 und der Entwicklungen nach dem Militärputschversuch im Juli 2016 ist gemäss konstanter gerichtlicher Praxis nicht von einer Situation allgemeiner Gewalt oder bürgerkriegsähnlichen Verhältnissen in der gesamten Türkei auszu- gehen (vgl. Urteil des BVGer D-3131/2021 vom 29. Januar 2025 E. 9.4.2 m.w.H.; vgl. auch das Referenzurteil E-4103/2024 vom 8. November 2024 E. 13 m.w.H. sowie das Referenzurteil E-1948/2018 vom 12. Juni 2018 E. 7.3.1 f.).</w:t>
      </w:r>
    </w:p>
    <w:p>
      <w:r>
        <w:rPr>
          <w:b/>
        </w:rPr>
        <w:t>E. 7.3.2</w:t>
      </w:r>
    </w:p>
    <w:p>
      <w:r>
        <w:t>Der Beschwerdeführer stammt aus der Provinz Gaziantep. Im Feb- ruar 2023 forderten schwere Erdbeben im Südosten der Türkei tausende Todesopfer und zerstörten Grossteile der Infrastruktur. Der Vollzug der Wegweisung in eine der betroffenen Provinzen, darunter erwähnte</w:t>
      </w:r>
    </w:p>
    <w:p>
      <w:r>
        <w:t>E-6056/2024 Seite 11 Heimatprovinz des Beschwerdeführers, ist gemäss aktueller Rechtspre- chung nicht generell unzumutbar, wobei die Beurteilung der Zumutbarkeit des Wegweisungsvollzugs im Rahmen einer einzelfallweisen Prüfung der individuellen Lebenssituation der Betroffenen vorzunehmen und dabei ins- besondere der Situation vulnerabler Personen gebührend Rechnung zu tragen ist (vgl. Referenzurteil des BVGer E-1308/2023 vom 19. März 2024 E. 11.3). Wie das SEM zutreffend festgehalten hat, hat der Beschwerdeführer zu- letzt mit seiner Familie in einem Haus in Gaziantep gelebt, wo seine Eltern und Geschwister nach wie vor wohnhaft sind (vgl. SEM act. 13/7 F9 ff.). Gemäss seinen Aussagen hat dieses Haus aufgrund des Erdbebens wenig Schaden erlitten (vgl. a.a.O. F12). Es ist deshalb davon auszugehen, dass er wieder dorthin zurückkehren kann.</w:t>
      </w:r>
    </w:p>
    <w:p>
      <w:r>
        <w:rPr>
          <w:b/>
        </w:rPr>
        <w:t>E. 7.3.3</w:t>
      </w:r>
    </w:p>
    <w:p>
      <w:r>
        <w:t>In individueller Hinsicht sind ebenfalls keine Gründe ersichtlich, wel- che den Wegweisungsvollzug als unzumutbar erscheinen liessen. Beim Beschwerdeführer handelt es sich um einen jungen und arbeitsfähigen Mann, welcher über eine Ausbildung als (…) verfügt und insbesondere Ar- beitserfahrungen in (…) sammeln konnte (vgl. SEM act. 13/7 F5, F16). Es ist ihm deshalb zuzumuten, sich in der Türkei wirtschaftlich erneut zu in- tegrieren und Fuss zu fassen. Darüber hinaus hat er auch schon in B._______ gelebt, wo er die Universität besucht und in einer Wohngemein- schaft gelebt hat. Es ist daher davon auszugehen, dass er über ein soziales und familiäres Umfeld verfügt, welches ihn gegebenenfalls unterstützen kann. Unter diesen Umständen ist nicht anzunehmen, dass er bei einer Rückkehr in eine existentielle Notlage geraten wird.</w:t>
      </w:r>
    </w:p>
    <w:p>
      <w:r>
        <w:rPr>
          <w:b/>
        </w:rPr>
        <w:t>E. 7.3.4</w:t>
      </w:r>
    </w:p>
    <w:p>
      <w:r>
        <w:t>Nach dem Gesagten erweist sich der Vollzug der Wegweisung so- wohl in allgemeiner als auch in individueller Hinsicht als zumutbar. Die aus dem eingereichten Empfehlungsschreiben vom 10. März 2025 hervorge- henden Integrationsbemühungen des Beschwerdeführers führen zu keiner anderen Einschätzung.</w:t>
      </w:r>
    </w:p>
    <w:p>
      <w:r>
        <w:rPr>
          <w:b/>
        </w:rPr>
        <w:t>E. 7.4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 lich zu bezeichnen ist (Art. 83 Abs. 2 AIG).</w:t>
      </w:r>
    </w:p>
    <w:p>
      <w:r>
        <w:t>E-6056/2024 Seite 12</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9</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am 31. Oktober 2024 in gleicher Höhe geleis- tete Kostenvorschuss ist zur Bezahlung der Verfahrenskosten zu verwen- den.</w:t>
      </w:r>
    </w:p>
    <w:p>
      <w:r>
        <w:t>(Dispositiv nächste Seite)</w:t>
      </w:r>
    </w:p>
    <w:p>
      <w:r>
        <w:t>E-6056/2024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