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E-6056/2022 vom 4. Januar 2023</w:t>
      </w:r>
    </w:p>
    <w:p>
      <w:r>
        <w:t>Bundesverwaltungsgericht, 2023-01-04, DE</w:t>
      </w:r>
    </w:p>
    <w:p>
      <w:r>
        <w:rPr>
          <w:b/>
        </w:rPr>
        <w:t xml:space="preserve">Quelle: </w:t>
      </w:r>
      <w:r>
        <w:t>https://mcp.opencaselaw.ch/entscheid/bvger_E-6056_2022</w:t>
      </w:r>
    </w:p>
    <w:p>
      <w:r>
        <w:t>FR: TAF E-6056/2022 du 4 janvier 2023</w:t>
      </w:r>
    </w:p>
    <w:p>
      <w:r>
        <w:t>IT: TAF E-6056/2022 del 4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Vorliegend ist den Akten zu entnehmen, dass der Beschwerdeführer am 6. November 2022 in Österreich als Asylsuchender registriert wurde. Das SEM ersuchte deshalb die österreichischen Behörden am 2. Dezember 2022 um Wiederaufnahme des Beschwerdeführers gestützt auf Art. 18 Abs. 1 Bst. b Dublin-III-VO. Die österreichischen Behörden nahmen innerhalb der festgelegten Frist zum Übernahmeersuchen des SEM keine Stellung, womit sie diesem implizit zustimmten. Der Einwand des Beschwerdeführers, er habe in Österreich eigentlich gar kein Asylgesuch stellen wollen, ist bezüglich der Zuständigkeitsfrage unbehelflich, da bereits die vom Beschwerdeführer nicht bestrittene Einreise in das Hoheitsgebiet der Dublin-Staaten die Zuständigkeit Österreichs für die Durchführung des Asyl- und Wegweisungsverfahrens begründet (Art. 18 Abs. 1 Bst. a Dublin-III-VO; vgl. hierzu statt vieler: Urteil BVGer D-270/2021 vom 29. Januar 2021, E.4.1.). im Übrigen kann auf die zutreffenden weiteren Ausführungen der in der angefochtenen Verfügung verwiesen werden, denen sich das Gericht anschliesst. Mit dem Hinweis auf den in der Schweiz wohnhaften, nicht zur Kernfamilie gehörenden Verwandten (Bruder) vermag der Beschwerdeführer keine Ansprüche aus Art. 16 Abs. 1 Dublin-III-VO darzulegen.</w:t>
      </w:r>
    </w:p>
    <w:p>
      <w:r>
        <w:rPr>
          <w:b/>
        </w:rPr>
        <w:t>E. 5.2</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An dieser Einschätzung vermögen die Hinweise in der Beschwerde auf einzelne Berichte über die allgemeine Situation für Asylsuchende in Österreich nichts zu ändern. Der Beschwerdeführer hat kein konkretes und ernsthaftes Risiko dargetan, dass die österreichischen Behörden in seinem Fall den erwähnten völkerrechtlichen Verpflichtungen nicht nachkommen würden.</w:t>
      </w:r>
    </w:p>
    <w:p>
      <w:r>
        <w:rPr>
          <w:b/>
        </w:rPr>
        <w:t>E. 5.3</w:t>
      </w:r>
    </w:p>
    <w:p>
      <w:r>
        <w:t>Es gibt auch keinen Grund für die Anwendung der Ermessensklausen von Art. 17 Dublin-III-VO oder von Art. 29a Abs. 3 der Asylverordnung 1 vom 11. August 1999 (AsylV 1, SR 142.311). Österreich bleibt somit zuständiger Mitgliedstaat gemäss Dublin-III-VO und ist verpflichtet, den Beschwerdeführer wiederaufzunehmen.</w:t>
      </w:r>
    </w:p>
    <w:p>
      <w:r>
        <w:rPr>
          <w:b/>
        </w:rPr>
        <w:t>E. 5.4</w:t>
      </w:r>
    </w:p>
    <w:p>
      <w:r>
        <w:t>Das SEM ist demnach zu Recht in Anwendung von Art. 31a Abs. 1 Bst. b AsylG auf das Asylgesuch nicht eingetreten und hat - weil der Beschwerdeführer nicht im Besitz einer gültigen Aufenthalts- oder Niederlassungsbewilligung ist - in Anwendung von Art. 44 AsylG die Überstellung nach Österreich angeordnet. Die Beschwerde ist demzufolge abzuweisen.</w:t>
      </w:r>
    </w:p>
    <w:p>
      <w:r>
        <w:rPr>
          <w:b/>
        </w:rPr>
        <w:t>E. 6.1</w:t>
      </w:r>
    </w:p>
    <w:p>
      <w:r>
        <w:t>Mit dem vorliegenden Urteil werden die Gesuche um Gewährung der aufschiebenden Wirkung und um Verzicht auf das Erheben eines Kostenvorschusses gegenstandslos.</w:t>
      </w:r>
    </w:p>
    <w:p>
      <w:r>
        <w:rPr>
          <w:b/>
        </w:rPr>
        <w:t>E. 6.2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