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E-6052/2022 vom 12. Januar 2023</w:t>
      </w:r>
    </w:p>
    <w:p>
      <w:r>
        <w:t>Bundesverwaltungsgericht, 2023-01-12, DE</w:t>
      </w:r>
    </w:p>
    <w:p>
      <w:r>
        <w:rPr>
          <w:b/>
        </w:rPr>
        <w:t xml:space="preserve">Quelle: </w:t>
      </w:r>
      <w:r>
        <w:t>https://mcp.opencaselaw.ch/entscheid/bvger_E-6052_2022</w:t>
      </w:r>
    </w:p>
    <w:p>
      <w:r>
        <w:t>FR: TAF E-6052/2022 du 12 janvier 2023</w:t>
      </w:r>
    </w:p>
    <w:p>
      <w:r>
        <w:t>IT: TAF E-6052/2022 del 12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Erweist es sich als unmöglich, eine antragsstellende Person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Beschwerdeführer bestreitet nicht, sich vor seiner Einreise in die Schweiz in Österreich aufgehalten zu haben. Sodann ist im Eurodac-System ein Asylgesuch des Beschwerdeführers in Österreich datierend vom (...) 2022 verzeichnet. Nachdem die österreichischen Behörden innerhalb der in Art. 25 Abs. 1 Dublin-III-VO festgelegten Frist dem Wiederaufnahmegesuch der Vorinstanz mittels eines Standardschreibens implizit zugestimmt und damit ihre Zustimmung anerkannt haben, ist die grundsätzliche Zuständigkeit Österreichs gegeben. Die Angabe des Beschwerdeführers, er sei in Österreich zur Abgabe seiner Fingerabdrücke gezwungen worden, obwohl er dort kein Asylgesuch habe einreichen wollen, hat auf die Zuständigkeit keinen Einfluss. Zudem gilt es darauf hinzuweisen, dass sich die Abnahme der Fingerabdrücke von illegal einreisenden ausländischen Personen und Asylsuchenden auf Art. 14 Abs. 1 der Verordnung (EU) Nr. 603/2013 des Europäischen Parlaments und des Rates vom 26. Juni 2013 (Eurodac-Verordnung) stützt. Es steht dem Beschwerdeführer damit gerade nicht frei zu wählen, ob und wann seine Fingerabdrücke abgenommen und an die Eurodac-Datenbank übermittelt werden. Das Vorgehen der österreichischen Behörden ist damit nicht zu beanstanden. Schliesslich räumt die Dublin-III-VO den Schutzsuchenden kein Recht ein, den ihren Antrag prüfenden Staat selber auszuwählen (vgl. BVGE 2010/45 E. 8.3).</w:t>
      </w:r>
    </w:p>
    <w:p>
      <w:r>
        <w:rPr>
          <w:b/>
        </w:rPr>
        <w:t>E. 4.2</w:t>
      </w:r>
    </w:p>
    <w:p>
      <w:r>
        <w:t>Wie die Vorinstanz zutreffend ausgeführt hat, ist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konstanter Praxis des Bundesverwaltungsgerichts liegen im heutigen Zeitpunkt keine Gründe für die Annahme vor, das Asylverfahren und die Aufnahmebedingungen für Antragstellende in Österreich wiesen systemische Schwachstellen im Sinne von Art. 3 Abs. 2 Sätze 2 und 3 Dublin-III-VO auf (vgl. statt vieler Urteil des BVGer D-4292/2022 vom 8. Dezember 2022 E. 5.1.2). Unter diesen Umständen ist die Anwendung von Art. 3 Abs. 2 Dublin-III-VO nicht gerechtfertigt.</w:t>
      </w:r>
    </w:p>
    <w:p>
      <w:r>
        <w:rPr>
          <w:b/>
        </w:rPr>
        <w:t>E. 5.1</w:t>
      </w:r>
    </w:p>
    <w:p>
      <w:r>
        <w:t>Es bleibt zu prüfen, ob allenfalls das Selbsteintrittsrecht nach Art. 17 Abs. 1 erster Satz Dublin-III-VO (Art. 29a Abs. 3 AsylV 1) - wie beantragt - auszuüben ist.</w:t>
      </w:r>
    </w:p>
    <w:p>
      <w:r>
        <w:rPr>
          <w:b/>
        </w:rPr>
        <w:t>E. 5.2</w:t>
      </w:r>
    </w:p>
    <w:p>
      <w:r>
        <w:t>Der Beschwerdeführer macht gesundheitliche Probleme geltend ([...]). Er leide zudem manchmal an (...). Aufgrund seiner Sorgen, nach Österreich zurückkehren zu müssen und von (...) getrennt zu werden, sei er depressiv geworden. Er träume ausserdem davon, sein Studium fortzuführen, um sich eine bessere Zukunft aufbauen zu können.</w:t>
      </w:r>
    </w:p>
    <w:p>
      <w:r>
        <w:rPr>
          <w:b/>
        </w:rPr>
        <w:t>E. 5.3</w:t>
      </w:r>
    </w:p>
    <w:p>
      <w:r>
        <w:t>Der Beschwerdeführer hat damit kein konkretes und ernsthaftes Risiko dargetan, wonach, die österreichischen Behörden sich weigern würden, ihn aufzunehmen und seinen Antrag auf internationalen Schutz unter Einhaltung der Regeln der erwähnten Richtlinien zu prüfen. Auch den Akten sind keine Gründe für die Annahme zu entnehmen, dass seine Überstellung nach Österreich zu einer Kettenabschiebung führen würde, beziehungsweise die österreichischen Behörden in seinem Fall den Grundsatz des Non-Refoulement missachten und ihn zur Ausreise in ein Land zwingen würden, in dem sein Leib, sein Leben oder seine Freiheit aus einem Grund nach Art. 3 Abs. 1 AsylG gefährdet ist oder in dem er Gefahr laufen würde, zur Ausreise in ein solches Land gezwungen zu werden. Der Beschwerdeführer hat auch nicht aufgezeigt, dass Österreich ihm die ihm gemäss Aufnahmerichtlinie zustehenden minimalen Lebensbedingungen vorenthalten würde. Wie die Vorinstanz überdies zu Recht festhält, hat der Wunsch auf Bildung keinen Einfluss auf die Zuständigkeit für das Asyl- und Wegweisungsverfahren.</w:t>
      </w:r>
    </w:p>
    <w:p>
      <w:r>
        <w:rPr>
          <w:b/>
        </w:rPr>
        <w:t>E. 5.4</w:t>
      </w:r>
    </w:p>
    <w:p>
      <w:r>
        <w:t>In Bezug auf die gesundheitliche Situation des Beschwerdeführers ist darauf hinzuweisen, dass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offensichtlich nicht gegeben. Der Beschwerdeführer behauptet, (...) und sei aufgrund seiner Sorge, nach Österreich zurückkehren zu müssen depressiv geworden. Ärztliche Berichte hat er weder im vorinstanzlichen Verfahren noch auf Beschwerdeebene beigebracht. Es kann den Akten auch nicht entnommen werden, dass sich die Rechtsvertretung (im vorinstanzlichen Verfahren) oder der Beschwerdeführer um einen Arzttermin bemüht hätten. Die geltend gemachten gesundheitlichen Leiden sind folglich nicht als derart schwerwiegend anzusehen, dass aus humanitären Gründen oder gar wegen einer drohenden Verletzung von Art. 3 EMRK von einer Überstellung nach Österreich abgesehen werden müsste. Österreich verfügt über eine ausgezeichnete medizinische Infrastruktur sowie über Fachstellen, um gesundheitliche und psychische Probleme adäquat behandeln zu können. Die Mitgliedstaaten sind denn auch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medizinische Behandlung verweigern würde oder es ihm nicht möglich wäre, eine solche in Anspruch zu nehmen.</w:t>
      </w:r>
    </w:p>
    <w:p>
      <w:r>
        <w:rPr>
          <w:b/>
        </w:rPr>
        <w:t>E. 5.5</w:t>
      </w:r>
    </w:p>
    <w:p>
      <w:r>
        <w:t>Soweit in der Beschwerdeschrift die Trennung von (...) in der Schweiz (...) geltend gemacht wird, ist Folgendes festzuhalten: Einen Unterstützungsgrund im Sinne von Art. 16 Abs. 1 Dublin-III-VO hat der Beschwerdeführer nicht substantiiert dargetan. Ein solcher ist auch aus den Akten nicht ersichtlich. Eine lediglich moralische oder psychische Unterstützung durch (...) vermag noch kein Abhängigkeitsverhältnis im Sinne der genannten Bestimmung zu begründen. Aus der Anwesenheit (...) ergibt sich somit keine Pflicht der Schweiz, einen Selbsteintritt vorzunehmen.</w:t>
      </w:r>
    </w:p>
    <w:p>
      <w:r>
        <w:rPr>
          <w:b/>
        </w:rPr>
        <w:t>E. 5.6</w:t>
      </w:r>
    </w:p>
    <w:p>
      <w:r>
        <w:t>Aus den genannten Gründen besteht kein Grund für einen zwingenden Selbsteintritt der Schweiz. Dem SEM kommt sodann bei der Anwendung von Art. 29a Abs. 3 AsylV 1 Ermessen zu (vgl. BVGE 2015/9 E. 7 f.) und den Akten sind keine Hinweise auf eine gesetzeswidrige Ermessensausübung oder ein Über- oder Unterschreiten des Ermessens (vgl. Art. 106 Abs. 1 Bst. a AsylG) durch die Vorinstanz zu entnehmen. Das Bundesverwaltungsgericht enthält sich unter diesen Umständen weiterer Ausführungen zur Frage eines Selbsteintritts aus humanitären Gründen. Somit bleibt Österreich der für die Behandlung des Asylgesuchs des Beschwerdeführers zuständige Mitgliedstaat gemäss Dublin-III-VO.</w:t>
      </w:r>
    </w:p>
    <w:p>
      <w:r>
        <w:rPr>
          <w:b/>
        </w:rPr>
        <w:t>E. 5.7</w:t>
      </w:r>
    </w:p>
    <w:p>
      <w:r>
        <w:t>Die Vorinstanz ist demnach zu Recht gestützt auf Art. 31a Abs. 1 Bst. b AsylG auf das Asylgesuch des Beschwerdeführers nicht eingetreten und hat seine Wegweisung nach Österreich angeordnet.</w:t>
      </w:r>
    </w:p>
    <w:p>
      <w:r>
        <w:rPr>
          <w:b/>
        </w:rPr>
        <w:t>E. 5.8</w:t>
      </w:r>
    </w:p>
    <w:p>
      <w:r>
        <w:t>Mit dem vorliegenden Urteil in der Hauptsache sind die Gesuche um Verzicht auf die Erhebung eines Kostenvorschusses und um aufschiebende Wirkung gegenstandslos geworden. Der angeordnete Vollzugsstopp fällt mit vorliegendem Urteil dahin.</w:t>
      </w:r>
    </w:p>
    <w:p>
      <w:r>
        <w:rPr>
          <w:b/>
        </w:rPr>
        <w:t>E. 6.1</w:t>
      </w:r>
    </w:p>
    <w:p>
      <w:r>
        <w:t>Die Begehren waren - wie sich aus den obenstehenden Erwägungen ergibt - als aussichtslos zu bezeichnen, weshalb das Gesuch um Gewährung der unentgeltlichen Prozessführung gemäss Art. 65 Abs. 1 VwVG unbesehen der geltend gemachten Bedürftigkeit abzuweisen ist.</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