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E-6051/2009 vom 30. März 2012</w:t>
      </w:r>
    </w:p>
    <w:p>
      <w:r>
        <w:t>Bundesverwaltungsgericht, 2012-03-30, DE</w:t>
      </w:r>
    </w:p>
    <w:p>
      <w:r>
        <w:rPr>
          <w:b/>
        </w:rPr>
        <w:t xml:space="preserve">Quelle: </w:t>
      </w:r>
      <w:r>
        <w:t>https://mcp.opencaselaw.ch/entscheid/bvger_E-6051_2009</w:t>
      </w:r>
    </w:p>
    <w:p>
      <w:r>
        <w:t>FR: TAF E-6051/2009 du 30 mars 2012</w:t>
      </w:r>
    </w:p>
    <w:p>
      <w:r>
        <w:t>IT: TAF E-6051/2009 del 30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Für den Erlass vorsorglicher Massnahmen mit Bezug auf die Kontaktaufnahme mit den Behörden des Heimatstaats bestand und besteht angesichts des klaren Wortlauts von Art. 97 AsylG keine Veranlassung. Auf den Antrag des Beschwerdeführers, er sei eine allenfalls bereits erfolgte Datenweitergabe an den Heimatstaat zu informieren, ist schon deshalb nicht einzutreten, weil den Akten keine Hinweise auf eine solche Handlung zu entnehmen sind.</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Nach Auffassung des Gerichts ist die vorinstanzliche Verfügung nachvollziehbar und überzeugend begründet und es werden ihr auf Beschwerdeebene keine stichhaltigen und substanziierten Gründe entgegengesetzt.</w:t>
      </w:r>
    </w:p>
    <w:p>
      <w:r>
        <w:rPr>
          <w:b/>
        </w:rPr>
        <w:t>E. 4.2</w:t>
      </w:r>
    </w:p>
    <w:p>
      <w:r>
        <w:t>Die Durchsicht der Akten ergibt in der Tat, dass die Asylvorbringen des Beschwerdeführers einen lebensfremden und konstruierten Eindruck hinterlassen und kaum substanziiert sowie teilweise widersprüchlich sind. Besonders die protokollierten Angaben zum politischen Engagement des Beschwerdeführers und der angeblichen Abwendung vom Islam erscheinen als oberflächlich und sind auch sonst von einem auffälligen Mangel an Realitätskennzeichen geprägt.</w:t>
      </w:r>
    </w:p>
    <w:p>
      <w:r>
        <w:rPr>
          <w:b/>
        </w:rPr>
        <w:t>E. 4.3</w:t>
      </w:r>
    </w:p>
    <w:p>
      <w:r>
        <w:t>Das BFM weist zu Recht darauf hin, dass die Aussagen des Beschwerdeführers zum Verbleib seiner Identitätskarte respektive der behördlichen Beschlagnahmung dieses Dokuments nicht nachvollziehbar sind: Bei der ersten Befragung vom 3. Juli 2008 hatte er angegeben, das Identitätspapier sei im Haus der Eltern verblieben und möglicherweise bei einer späteren Hausdurchsuchung konfisziert worden (vgl. Protokoll EVZ S. 4 und 5). Bei der Befragung zu den Asylgründen vom 9. Juli 2008 hatte er unmissverständlich zu Protokoll gegeben, die ID-Karte sei beschlagnahmt worden und er habe von diesem Umstand bereits während des Aufenthalts im Irak über eine Drittperson Kenntnis erhalten (vgl. Protokoll S. 9 und 10). Zwei Tage nach dieser Anhörung, am 11. Juli 2008, hatte der Beschwerdeführer kommentarlos seine Identitätskarte im Original zu den Akten gereicht.</w:t>
      </w:r>
    </w:p>
    <w:p>
      <w:r>
        <w:rPr>
          <w:b/>
        </w:rPr>
        <w:t>E. 4.4.1</w:t>
      </w:r>
    </w:p>
    <w:p>
      <w:r>
        <w:t>Der Beschwerdeführer beschränkt sich einerseits darauf, die Widersprüchlichkeit seiner Aussagen respektive die Unsubstanziiertheit seiner Angaben zu bestreiten (vgl. Beschwerde S. 2 f. betreffend Verbleib der Identitätskarte und Schilderung der politischen Aktivitäten), was nach dem Gesagten nicht zu überzeugen vermag.</w:t>
      </w:r>
    </w:p>
    <w:p>
      <w:r>
        <w:rPr>
          <w:b/>
        </w:rPr>
        <w:t>E. 4.4.2</w:t>
      </w:r>
    </w:p>
    <w:p>
      <w:r>
        <w:t>Andererseits wird geltend gemacht, er sei bei der Anhörung zu den Asylgründen vom Befrager daran gehindert worden, sich detaillierter zu seinen politischen Ansichten und Beweggründen zu äussern (vgl. Beschwerde S. 3). Auch dieser Einwand vermag - abgesehen davon, dass er den Vorwurf der mangelnden Substanziiertheit indirekt zu bestätigen scheint - nicht zu überzeugen: Der Beschwerdeführer war nur einmal, als er sich in einer Auflistung der Mängel des iranischen Regimes zu verlieren drohte, unterbrochen worden (vgl. Protokoll S. 7); der Befrager bot ihm mit offenen und geschlossenen Fragen offensichtlich hinreichend Gelegenheit, sich detailliert zu äussern.</w:t>
      </w:r>
    </w:p>
    <w:p>
      <w:r>
        <w:rPr>
          <w:b/>
        </w:rPr>
        <w:t>E. 4.4.3</w:t>
      </w:r>
    </w:p>
    <w:p>
      <w:r>
        <w:t>Soweit das Risikoverhalten des Beschwerdeführers schliesslich mit der Überzeugung der Richtigkeit und Wichtigkeit des politischen Handelns begründet werden soll (vgl. Beschwerde S. 2 f.), erscheint auch dieser Erklärungsversuch nicht überzeugend. Hätte das Verteilen von Propagandamaterial tatsächlich derart viel mehr Zeit als vorgesehen benötigt, dass der Beschwerdeführer es erst um 4:00 Uhr in (...) geschafft hätte, wäre angesichts der offensichtlich sehr hohen Gefahr des Entdecktwerdens eher zu erwarten gewesen, dass er die Koranverbrennung auf einen anderen Morgen verschoben hätte.</w:t>
      </w:r>
    </w:p>
    <w:p>
      <w:r>
        <w:rPr>
          <w:b/>
        </w:rPr>
        <w:t>E. 4.5</w:t>
      </w:r>
    </w:p>
    <w:p>
      <w:r>
        <w:t>Bei dieser Sachlage erübrigt es sich, auf die weiteren Ausführungen in der Beschwerde im Einzelnen einzugehen, da diese nicht geeignet sind, zu einer anderen rechtlichen Würdigung der Aktenlage zu führen. Es erübrigt sich angesichts der Unglaubhaftigkeit der Vorbringen auch die Prüfung der Frage der flüchtlingsrechtlichen Relevanz der Asylvorbringen (vgl. Beschwerde S. 4).</w:t>
      </w:r>
    </w:p>
    <w:p>
      <w:r>
        <w:rPr>
          <w:b/>
        </w:rPr>
        <w:t>E. 4.6</w:t>
      </w:r>
    </w:p>
    <w:p>
      <w:r>
        <w:t>Nach dem Gesagten ist festzuhalten, dass der Beschwerdeführer einen flüchtlingsrechtlich bedeutsamen Sachverhalt weder nachgewiesen noch glaubhaft gemacht hat. Die Feststellung des BFM, der Beschwerdeführer erfülle die Flüchtlingseigenschaft (aufgrund von Vorfluchtgründen) nicht, ist dementsprechend zu bestätigen. Das BFM hat das Asylgesuch zu Recht und mit zutreffender Begründung abgelehnt.</w:t>
      </w:r>
    </w:p>
    <w:p>
      <w:r>
        <w:rPr>
          <w:b/>
        </w:rPr>
        <w:t>E. 5.1</w:t>
      </w:r>
    </w:p>
    <w:p>
      <w:r>
        <w:t>Im Folgenden hat das Bundesverwaltungsgericht zu prüfen, ob der Beschwerdeführer aufgrund seines geltend gemachten exilpolitischen Engagements in der Schweiz zukünftige Verfolgung durch die iranischen Behörden zu befürchten hat und demnach die Flüchtlingseigenschaft wegen subjektiver Nachfluchtgründe erfüllt.</w:t>
      </w:r>
    </w:p>
    <w:p>
      <w:r>
        <w:rPr>
          <w:b/>
        </w:rPr>
        <w:t>E. 5.2</w:t>
      </w:r>
    </w:p>
    <w:p>
      <w:r>
        <w:t>Subjektive Nachfluchtgründe sind dann anzunehmen, wenn eine asylsuchende Person erst durch ihre Ausreise aus dem Heimat- oder Herkunftsstaat oder wegen ihres Verhaltens nach der Ausreise eine Verfolgung im Sinn von Art. 3 AsylG zu befürchten hat. Personen mit subjektiven Nachfluchtgründen erhalten zwar gemäss Art. 54 AsylG kein Asyl, werden jedoch als Flüchtlinge vorläufig aufgenommen (vgl. BVGE 2009/28 E. 7.1, BVGE 2009/29 E. 5.1).</w:t>
      </w:r>
    </w:p>
    <w:p>
      <w:r>
        <w:rPr>
          <w:b/>
        </w:rPr>
        <w:t>E. 5.3.1</w:t>
      </w:r>
    </w:p>
    <w:p>
      <w:r>
        <w:t>Es ist allgemein bekannt und unbestritten, dass die iranischen Behörden die politischen Aktivitäten ihrer Staatsangehörigen im Ausland überwachen und erfassen. Durch Einsatz moderner Software dürfte es den iranischen Behörden gegebenenfalls auch möglich sein, die im Internet vorhandenen riesigen Datenmengen nach Stichworten zu durchsuchen. Demzufolge bleibt im Einzelfall zu prüfen, ob die in der Schweiz vorgenommenen exilpolitischen Aktivitäten bei einer allfälligen Ausschaffung in den Iran mit überwiegender Wahrscheinlichkeit ernsthafte Nach­teile im asylrechtlichen Sinn nach sich ziehen würden. Gemäss Praxis des Bundesverwaltungsgerichts (vgl. zum Ganzen BVGE 2009/28 E. 7.4.3)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w:t>
      </w:r>
    </w:p>
    <w:p>
      <w:r>
        <w:rPr>
          <w:b/>
        </w:rPr>
        <w:t>E. 5.3.2</w:t>
      </w:r>
    </w:p>
    <w:p>
      <w:r>
        <w:t>Somit sind für die Einschätzung der Verfolgungsgefahr weniger die Mitgliedschaft in einer exilpolitischen Organisation, die Teilnahme an regimekritischen Demonstrationen und das hierbei übliche Tragen von Plakaten und Rufen von Parolen, sondern eher bestimmte Positionen (z.B. Vorsitzende/r einer Exilgruppe) oder Formen und Einflüsse von Aktionen (z.B. gewaltsamer Protest) von Bedeutung. Massgebend ist dabei nicht Individualisierbarkeit, sondern eine derartige Exponiertheit in der Öffentlichkeit, die den Eindruck erweckt, dass der Asylsuchende zu einer Gefahr für den Bestand des Mullah-Regimes wird. Es darf vorausgesetzt werden, dass die iranischen Sicherheitsbehörden zwischen tatsächlich politisch engagierten Regimekritikern und Exilaktivisten, die mit ihren Aktionen in erster Linie die Chancen auf ein Aufenthaltsrecht zu erhöhen versuchen, zu unterscheiden vermögen (vgl. BVGE 2009/28 E. 7.4.3).</w:t>
      </w:r>
    </w:p>
    <w:p>
      <w:r>
        <w:rPr>
          <w:b/>
        </w:rPr>
        <w:t>E. 5.4.1</w:t>
      </w:r>
    </w:p>
    <w:p>
      <w:r>
        <w:t>Vorweg ist festzuhalten, dass es dem Beschwerdeführer nicht gelang, eine Vorverfolgung oder ein bereits im Iran bestehendes regimekritisches Engagement glaubhaft zu machen. Somit ist nicht davon auszugehen, dass er schon vor der Ausreise die Aufmerksamkeit der iranischen Behörden in relevantem Ausmass auf sich gezogen hat. Vor diesem Hintergrund rechtfertigt sich der Schluss, dass er vor seiner Einreise in die Schweiz durch die iranischen Behörden jedenfalls nicht als staatsgefährdender Politaktivist registriert war.</w:t>
      </w:r>
    </w:p>
    <w:p>
      <w:r>
        <w:rPr>
          <w:b/>
        </w:rPr>
        <w:t>E. 5.4.2</w:t>
      </w:r>
    </w:p>
    <w:p>
      <w:r>
        <w:t>Es bleibt somit zu prüfen, ob der Beschwerdeführer aufgrund seines Engagements als angebliches Mitglied der PDKI und aktiver Teilnehmer an verschiedenen Aktionen sowie Kundgebungen, an denen er auch fotografiert wurde, eine asylrelevante Verfolgung zu befürchten hat.</w:t>
      </w:r>
    </w:p>
    <w:p>
      <w:r>
        <w:rPr>
          <w:b/>
        </w:rPr>
        <w:t>E. 5.4.3</w:t>
      </w:r>
    </w:p>
    <w:p>
      <w:r>
        <w:t>Davon ist indessen nicht auszugehen, zumal sich aus den eingereichten Aufnahmen auch nicht mit Sicherheit auf die Identität des Beschwerdeführers schliessen lässt. Der Beschwerdeführer hat sich bei seinen Aktivitäten respektive allgemein bei der Teilnahme und Mitorganisation von örtlich und zeitlich beschränkten Veranstaltungen, wie zum Beispiel einer Standaktion, nicht besonders exponiert. Das Gleiche gilt auch bezüglich der Veranstaltung vom (...) 2010, worüber Fotografien ins Internet gestellt worden seien und das kurdische Satellitenfernsehen TISHK TV eine vollständige Aufzeichnung ausgestrahlt habe (vgl. am 11. März 2010 eingereichte Fotografien sowie CD).</w:t>
      </w:r>
    </w:p>
    <w:p>
      <w:r>
        <w:rPr>
          <w:b/>
        </w:rPr>
        <w:t>E. 5.4.4</w:t>
      </w:r>
    </w:p>
    <w:p>
      <w:r>
        <w:t>Dass es sich beim Beschwerdeführer nicht um einen exponierten Exilaktivisten handelt, legt auch die Tatsache nahe, dass das europäische Büro der PDKI ihn in einer am 11. März 2010 eingereichten Bestätigung vom 26. Februar 2010 bloss als Sympathisanten der Partei bezeichnet, während das schweizerische Büro bereits am 2. November 2009 bestätigt hatte, der Beschwerdeführer sei ein "offizielles" Parteimitglied. Ob es sich beim zweitgenannten Dokument um ein authentisches Schreiben handelt, kann zwar letztlich offen bleiben; immerhin fällt auf, dass die Postadresse des Parteibüros im Briefkopf einen groben Schreibfehler aufweist ("F._______" statt "G._______").</w:t>
      </w:r>
    </w:p>
    <w:p>
      <w:r>
        <w:rPr>
          <w:b/>
        </w:rPr>
        <w:t>E. 5.5</w:t>
      </w:r>
    </w:p>
    <w:p>
      <w:r>
        <w:t>Zusammenfassend ist festzuhalten, dass sich das politische Engagement des Beschwerdeführers ihn nicht als exponierte Führungspersönlichkeit erscheinen lässt, weshalb nicht darauf zu schliessen ist, er habe ein besonderes Interesse der iranischen Behörden auf sich gezogen.</w:t>
      </w:r>
    </w:p>
    <w:p>
      <w:r>
        <w:rPr>
          <w:b/>
        </w:rPr>
        <w:t>E. 5.6</w:t>
      </w:r>
    </w:p>
    <w:p>
      <w:r>
        <w:t>Der Vollständigkeit halber ist festzustellen, dass die iranischen Behörden aufgrund der Geheimhaltungspflicht der Schweizer Asylbehörden (vgl. Art. 97 Abs. 1 Satz 2 AsylG) keine Kenntnis davon erhalten werden, dass der Beschwerdeführer in der Schweiz ein Asylgesuch gestellt hat. schliesslich ist auf die Praxis des Bundesverwaltungsgerichts hinzuweisen, wonach allein aufgrund der Ausreise oder des Stellens eines Asylgesuchs im Ausland keine flüchtlingsrechtlich erhebliche Verfolgung im Iran zu befürchten ist (vgl. BVGE 2009/28 E. 7.4.4 S. 367).</w:t>
      </w:r>
    </w:p>
    <w:p>
      <w:r>
        <w:rPr>
          <w:b/>
        </w:rPr>
        <w:t>E. 5.7</w:t>
      </w:r>
    </w:p>
    <w:p>
      <w:r>
        <w:t>Die geltend gemachten subjektiven Nachfluchtgründe sind nicht geeignet, eine flüchtlingsrechtlich relevante Verfolgungsfurcht zu begründen, weshalb der Beschwerdeführer auch unter diesem Aspekt nicht als Flüchtling im Sinn von Art. 3 AsylG anerkannt werden kann.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 S. 733, unter Hinweis auf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Angesichts der Lage im Iran kann nicht von einer Situation allgemeiner Gewalt oder von kriegerischen oder bürgerkriegsähnlichen Verhältnissen gesprochen werden, welche für den Beschwerdeführer bei einer Rückkehr eine konkrete Gefährdung darstellen würde (vgl. die im Wesentlichen nach wie vor zutreffende Lagebeurteilung im Urteil des Bundesverwaltungsgerichts BVGE 2009/28 vom 9. Juli 2009).</w:t>
      </w:r>
    </w:p>
    <w:p>
      <w:r>
        <w:rPr>
          <w:b/>
        </w:rPr>
        <w:t>E. 7.3.2</w:t>
      </w:r>
    </w:p>
    <w:p>
      <w:r>
        <w:t>Der Beschwerdeführer verfügt über eine gute Schulbildung, hat die Schule bis zur 9. Klasse besucht und verfügt an seinem Herkunftsort über ein familiäres Beziehungsnetz (Eltern, Geschwister). Es wird ihm somit auch in Berücksichtigung der mehrjährigen Landesabwesenheit möglich sein, im Iran wieder eine Existenz aufzubauen. Der Vollzug der Wegweisung ist folglich auch in individueller Hinsicht als zumutbar zu bezeichnen.</w:t>
      </w:r>
    </w:p>
    <w:p>
      <w:r>
        <w:rPr>
          <w:b/>
        </w:rPr>
        <w:t>E. 7.4</w:t>
      </w:r>
    </w:p>
    <w:p>
      <w:r>
        <w:t>Schliesslich obliegt es dem Beschwerdeführer,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7.5</w:t>
      </w:r>
    </w:p>
    <w:p>
      <w:r>
        <w:t>Zusammenfassend hat die Vorinstanz den Wegweisungsvollzug zu Recht als zulässig, zumutbar und möglich qualifizieren.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w:t>
      </w:r>
    </w:p>
    <w:p>
      <w:r>
        <w:t>Bei diesem Ausgang des Verfahrens wären die Kosten dem Beschwerdeführer aufzuerlegen (Art. 63 Abs. 1 VwVG). Nachdem seine Bedürftigkeit ausgewiesen ist, er nicht erwerbstätig ist und seine Rechtsbegehren - mit Bezug auf den Aspekt der Nachfluchtgründe - nicht aussichtslos im Sinn von Art. 65 Abs. 1 VwVG waren, ist in Gutheissung des Gesuchs um Gewährung der unentgeltlichen Rechtspflege vom 23. September 2009 auf die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