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E-6046/2019 vom 22. November 2019</w:t>
      </w:r>
    </w:p>
    <w:p>
      <w:r>
        <w:t>Bundesverwaltungsgericht, 2019-11-22, DE</w:t>
      </w:r>
    </w:p>
    <w:p>
      <w:r>
        <w:rPr>
          <w:b/>
        </w:rPr>
        <w:t xml:space="preserve">Quelle: </w:t>
      </w:r>
      <w:r>
        <w:t>https://mcp.opencaselaw.ch/entscheid/bvger_E-6046_2019</w:t>
      </w:r>
    </w:p>
    <w:p>
      <w:r>
        <w:t>FR: TAF E-6046/2019 du 22 novembre 2019</w:t>
      </w:r>
    </w:p>
    <w:p>
      <w:r>
        <w:t>IT: TAF E-6046/2019 del 22 novembre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Den Akten ist zu entnehmen, dass dem Beschwerdeführer am 18. Januar 2019 der subsidiäre Schutzstatus in Griechenland gewährt wurde. Griechenland ist ein verfolgungssicherer Drittstaat im Sinne von Art. 6a Abs. 2 Bst. b AsylG (vgl. Beschluss des Bundesrates vom 14. Dezember 2007) und die griechischen Behörden haben der Rückübernahme des Beschwerdeführers zugestimmt.</w:t>
      </w:r>
    </w:p>
    <w:p>
      <w:r>
        <w:rPr>
          <w:b/>
        </w:rPr>
        <w:t>E. 5.3</w:t>
      </w:r>
    </w:p>
    <w:p>
      <w:r>
        <w:t>Dass der Beschwerdeführer in Griechenland über einen Schutzstatus verfügt, wird in der Beschwerde auch nicht bestritten. Zudem hat er nicht behauptet, das Asylverfahren in Griechenland sei in seinem Falle fehlerhaft gewesen beziehungsweise es würde ihm dort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kein anderer Grund nach Art. 32 Abs. 1 Asylverordnung 1 über Verfahrensfragen (AsylV1; SR 142.311) ist ersichtlich.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Gemäss Art. 6a AsylG besteht zugunsten sicherer Drittstaaten - wie Griechenland einer ist (vgl. E. 5.2)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Das Vorliegen eines Vollzugshindernisses unter dem Aspekt der Zulässigkeit bei Personen, denen von den griechischen Behörden ein Schutzstatus verliehen wurde, wird vom Bundesverwaltungsgerichts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gleichzeitig, dass die Lebensbedingungen in Griechenland schwierig sind, dennoch geht es diesbezüglich nicht von einer unmenschlichen oder entwürdigenden Behandlung im Sinn von Art. 3 EMRK respektive einer existenziellen Notlage aus.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8.2</w:t>
      </w:r>
    </w:p>
    <w:p>
      <w:r>
        <w:t>Dem Beschwerdeführer wurde in Griechenland der subsidiäre Schutzstatus gewährt. Es besteht daher kein Anlass zur Annahme, es drohe ihm eine Verletzung des in Art. 33 Abs. 1 der FK verankerten Grundsatzes der Nichtrückschiebung. Sodann liegen den Akten keine Anhaltspunkte dafür vor, dass dem Beschwerdeführer für den Fall der Ausschaffung mit beachtlicher Wahrscheinlichkeit eine menschenrechtswidrige Behandlung im Sinne von Art. 25 Abs. 3 BV, Art. 3 FoK und Art. 3 EMRK droht. Vorab ist festzustellen, dass es keinen Grund zur Annahme gibt, der Beschwerdeführer müsse sich bei einer Rückkehr nach Griechenland wiederum in Moria/Lesbos aufhalten. Inwiefern er ausserhalb dieses Lagers in der Vergangenheit in Griechenland von Problemen betroffen gewesen wäre, die unter dem Aspekt der Zulässigkeit relevant sein könnten, ist nicht ersichtlich. Dies gilt auch für seine als niederschwellig zu bezeichnenden gesundheitlichen Beeinträchtigungen. Unabhängig davon führte das SEM zu Recht aus, der Beschwerdeführer könne sich bei Unterstützungsbedarf oder allfälligen Problemen mit Drittpersonen an die griechischen Behörden wenden und die erforderliche Hilfe nötigenfalls auf dem Rechtsweg einfordern. Auch hatte der Beschwerdeführer bereits in Rahmen seines Asylverfahrens in Griechenland einen Anwalt aufgesucht, der ihn unterstützt hatte; es gibt keinen Grund zur Annahme, er könnte dies nicht auch künftig wieder tun, sollte er auf Unterstützung angewiesen sein, um sich gegebenenfalls an die zuständigen Stellen zu wenden. Der Vollzug der Wegweisung nach Griechenland erweist sich somit als zulässig.</w:t>
      </w:r>
    </w:p>
    <w:p>
      <w:r>
        <w:rPr>
          <w:b/>
        </w:rPr>
        <w:t>E. 9.1</w:t>
      </w:r>
    </w:p>
    <w:p>
      <w:r>
        <w:t>Soweit der Beschwerdeführer auf die prekären Lebensbedingungen von Migranten in Griechenland hinweist, ist tatsächlich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auch durch die mit der Beschwerde beigelegten Berichte von Pro Asyl und RSA sowie der SFH belegt.</w:t>
      </w:r>
    </w:p>
    <w:p>
      <w:r>
        <w:rPr>
          <w:b/>
        </w:rPr>
        <w:t>E. 9.2</w:t>
      </w:r>
    </w:p>
    <w:p>
      <w:r>
        <w:t>Trotz dieser Kritik ist aber festzuhalten, dass Griechenland an die Qualifikationsrichtlinie gebunden ist. Der Beschwerdeführer ist somit gehalten, die ihm allfällig zustehenden Ansprüche direkt bei den griechischen Behörden einzufordern (vgl. oben E. 8.1). Selbst wenn die Lebensbedingungen in Griechenland aufgrund der herrschenden Wirtschaftslage nicht einfach sind, liegen keine Hinweise für die Annahme vor, dass der Beschwerdeführer bei einer Rückkehr nach Griechenland einer existenziellen Notlage ausgesetzt wäre. Daran vermag auch seine Rüge, den griechischen Behörden sei es innert drei Wochen nicht möglich gewesen, ihn über seinen subsidiären Schutzstatus zu informieren, offensichtlich nichts zu ändern. Denn es ist ihm selbst, und nicht den griechischen Behörden anzulasten, dass er sich mit den am 10. Januar 2019 erhaltenen Unterlagen nicht an sie gewandt hat, sondern ausgereist ist. Hinsichtlich seiner gesundheitlichen Probleme wird sich der Beschwerdeführer nötigenfalls mit seinem subsidiären Schutzstatus, der ihm freien Zugang zu entsprechender Versorgung erlaubt, an die zuständigen Institutionen in Griechenland zu wenden haben. Bei dieser Sachlage besteht kein Anlass zur Einholung individueller Garantien (vgl. hierzu BVGE 2017 VI/10 und das Urteil des BVGer D-5016/2017 vom 12. März 2018 E. 6.6). Der NZZ Artikel vom 1. November 2019 ist offensichtlich nicht geeignet, hinsichtlich der Einholung von individuellen Garantien zu einer anderen Einschätzung zu gelangen. So ist der Beschwerdeführer von diesen Anpassungen der Asylverfahren in Griechenland nicht betroffen, ist seines doch bereits abgeschlossen und ihm der subsidiäre Schutzstatus gewährt worden. Der Wegweisungsvollzug erweist sich somit auch als zumutbar.</w:t>
      </w:r>
    </w:p>
    <w:p>
      <w:r>
        <w:rPr>
          <w:b/>
        </w:rPr>
        <w:t>E. 10</w:t>
      </w:r>
    </w:p>
    <w:p>
      <w:r>
        <w:t>Soweit der Beschwerdeführer seinen subeventualiter gestellten Antrag auf Rückweisung damit begründet, die Vorinstanz habe sich nicht hinreichend mit seinen individuellen Umständen auseinandergesetzt und dadurch ihre Begründungspflicht verletzt, so erweist sich auch diese Rüge als offensichtlich unbegründet. Sämtliche seiner diesbezüglichen Ausführungen beziehen sich auf seinen Status als Asylbewerber im Lager Moria/Lesbos. Das SEM hat diesbezüglich zutreffend festgestellt, der Beschwerdeführer habe die Insel am 10. Januar 2019 verlassen. Gemäss seinen Angaben hätten die griechischen Behörden ihm zu diesem Zeitpunkt ein Dokument ausgestellt, mit dem er sich habe ausweisen können, und das während sechs Monaten gültig gewesen sei. Aufgrund dessen, sowie da ihm am 18. Januar 2019 in Griechenland nachweislich der subsidiäre Schutzstatus zuerkannt worden sei, bestehe kein Anlass für seine Annahme, bei einer Rückkehr werde er erneut nach Lesbos ins Lager zurückgeschickt. Diese Einschätzung wird vom Gericht geteilt, weshalb kein Anlass bestand, näher auf die zweifellos schwierigen Umstände, denen der Beschwerdeführer in Moria/Lesbos ausgesetzt gewesen sein dürfte, einzugehen. Den Akten sind auch sonst keine Hinweise zu entnehmen, die eine Rückweisung der Sache an die Vorinstanz rechtfertigen könnten. Das diesbezügliche Subeventualbegehren ist folglich abzuweisen.</w:t>
      </w:r>
    </w:p>
    <w:p>
      <w:r>
        <w:rPr>
          <w:b/>
        </w:rPr>
        <w:t>E. 11</w:t>
      </w:r>
    </w:p>
    <w:p>
      <w:r>
        <w:t>Schliesslich ist der Wegweisungsvollzug auch als möglich zu erachten, zumal die griechischen Behörden einer Rückübernahme des Beschwerdeführers ausdrücklich zugestimmt haben.</w:t>
      </w:r>
    </w:p>
    <w:p>
      <w:r>
        <w:rPr>
          <w:b/>
        </w:rPr>
        <w:t>E. 12</w:t>
      </w:r>
    </w:p>
    <w:p>
      <w:r>
        <w:t>Nach den vorstehenden Erwägungen ist der von der Vorinstanz verfügte Vollzug der Wegweisung zu bestätigen.</w:t>
      </w:r>
    </w:p>
    <w:p>
      <w:r>
        <w:rPr>
          <w:b/>
        </w:rPr>
        <w:t>E. 13</w:t>
      </w:r>
    </w:p>
    <w:p>
      <w:r>
        <w:t>Aus diesen Erwägungen ergibt sich, dass die angefochtene Verfügung Bundesrecht nicht verletzt, den rechtserheblichen Sachverhalt richtig sowie vollständig feststellt (Art. 106 Abs. 1 AsylG) und - soweit überprüfbar - angemessen ist (Art. 49 Bst. c VwVG). Es erübrigt sich, auf den weiteren Inhalt der Beschwerdeschrift sowie die dazugehörigen Beilagen näher einzugehen. Die Beschwerde ist abzuweisen.</w:t>
      </w:r>
    </w:p>
    <w:p>
      <w:r>
        <w:rPr>
          <w:b/>
        </w:rPr>
        <w:t>E. 14.1</w:t>
      </w:r>
    </w:p>
    <w:p>
      <w:r>
        <w:t>Der Antrag auf Kostenvorschusserlass erweist sich mit vorliegendem Urteil als gegenstandslos.</w:t>
      </w:r>
    </w:p>
    <w:p>
      <w:r>
        <w:rPr>
          <w:b/>
        </w:rPr>
        <w:t>E. 14.2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