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E-6045/2011 vom 27. August 2013</w:t>
      </w:r>
    </w:p>
    <w:p>
      <w:r>
        <w:t>Bundesverwaltungsgericht, 2013-08-27, FR</w:t>
      </w:r>
    </w:p>
    <w:p>
      <w:r>
        <w:rPr>
          <w:b/>
        </w:rPr>
        <w:t xml:space="preserve">Quelle: </w:t>
      </w:r>
      <w:r>
        <w:t>https://mcp.opencaselaw.ch/entscheid/bvger_E-6045_2011</w:t>
      </w:r>
    </w:p>
    <w:p>
      <w:r>
        <w:t>FR: TAF E-6045/2011 du 27 août 2013</w:t>
      </w:r>
    </w:p>
    <w:p>
      <w:r>
        <w:t>IT: TAF E-6045/2011 del 27 agosto 2013</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en l'absence d'une demande d'extradition déposée par l'Etat dont les recourants cherchent à se protéger (cf. art. 83 let. d ch. 1 de la loi du 17 juin 2005 sur le Tribunal fédéral [LTF, RS 173.110]), exception non réalisée en l'espèce.</w:t>
      </w:r>
    </w:p>
    <w:p>
      <w:r>
        <w:rPr>
          <w:b/>
        </w:rPr>
        <w:t>E. 1.2</w:t>
      </w:r>
    </w:p>
    <w:p>
      <w:r>
        <w:t>Les intéressés ont qualité pour recourir (cf. art. 48 al. 1 PA). Présenté dans la forme (cf. art. 52 PA) et le délai (cf. art. 108 al. 1 LAsi) prescrits par la loi, leur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qui correspond, sur ce point, à l'art. 29 al. 2 de la Constitution fédérale du 18 avril 1999 (Cst., RS 101)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La demande d'adaptation tend à faire adapter par l'autorité de première instance sa décision parce que, depuis son prononcé, s'est créée une situation nouvelle dans les faits qui constitue une modification notable des circonstances. Conformément au principe de la bonne foi, le requérant ne peut pas, par le biais d'une telle demande, invoquer des faits qu'il aurait pu invoquer précédemment en faisant preuve de la diligence requise (cf. ATAF 2010/27 consid. 2.1.1 p. 368 ; Jurisprudence et informations de la Commission suisse de recours en matière d'asile [JICRA] 2000 n° 5 p. 44 ss).</w:t>
      </w:r>
    </w:p>
    <w:p>
      <w:r>
        <w:rPr>
          <w:b/>
        </w:rPr>
        <w:t>E. 3</w:t>
      </w:r>
    </w:p>
    <w:p>
      <w:r>
        <w:t>En l'espèce, les recourants remettent en cause le caractère licite et raisonnablement exigible de l'exécution de leur renvoi en produisant des éléments de preuve sous forme, d'une part, d'un rapport faisant état de pratiques arbitraires de la part des autorités judiciaires, et d'autre part, de rapports médicaux. Les rapports médicaux des 7 et 8 septembre 2011 ainsi que l'attestation médicale du 23 août 2011 sont des documents postérieurs à la clôture de la procédure ordinaire, de sorte qu'il s'agit de moyens de preuves nouveaux tendant à attester l'aggravation de l'état de santé de la recourante ainsi que les problèmes de santé de leurs enfants (modification notable des circonstances). Ces documents sont donc des moyens de réexamen dont l'ODM s'est saisi à juste titre. Postérieurs à la décision querellée, les rapports médicaux des 20 septembre 2012 ainsi que du 22 juin 2013 doivent également être pris en compte. Il convient d'examiner si ces documents peuvent mener à une appréciation différente de celle effectuée en procédure ordinaire, à savoir si l'état de santé actuel de l'intéressée et de ses enfants peut conduire à considérer l'exécution de leur renvoi en Mongolie comme illicite ou inexigible.</w:t>
      </w:r>
    </w:p>
    <w:p>
      <w:r>
        <w:rPr>
          <w:b/>
        </w:rPr>
        <w:t>E. 4.1</w:t>
      </w:r>
    </w:p>
    <w:p>
      <w:r>
        <w:t>L'exécution du renvoi est illicite lorsque le renvoi de l'étranger dans son Etat d'origine, dans son Etat de provenance ou dans un Etat tiers est contraire aux engagements de la Suisse relevant du droit international (cf. art. 83 al. 3 LEtr).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in : FF 1990 II 624).</w:t>
      </w:r>
    </w:p>
    <w:p>
      <w:r>
        <w:rPr>
          <w:b/>
        </w:rPr>
        <w:t>E. 4.2</w:t>
      </w:r>
    </w:p>
    <w:p>
      <w:r>
        <w:t>Il sied donc d'examiner particulièrement si l'art. 3 CEDH, qui interdit la torture, les peines ou traitements inhumains, trouve application dans le présent cas d'espèce.</w:t>
      </w:r>
    </w:p>
    <w:p>
      <w:r>
        <w:rPr>
          <w:b/>
        </w:rPr>
        <w:t>E. 4.2.1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JICRA 2005 n°4 consid. 6.2 p. 40, JICRA 2004 n°6 consid. 7a p. 40 ; cf. également arrêts de la Cour européenne des Droits de l'Homme [CourEDH] en l'affaire F. H. c/ Suède du 20 janvier 2009, requête n° 32621/06, et en l'affaire Saadi c/ Italie du 28 février 2008, requête n° 37201/06, par. 124 à 127, et réf. cit.).</w:t>
      </w:r>
    </w:p>
    <w:p>
      <w:r>
        <w:rPr>
          <w:b/>
        </w:rPr>
        <w:t>E. 4.2.2</w:t>
      </w:r>
    </w:p>
    <w:p>
      <w:r>
        <w:t>En l'espèce, il faut admettre que l'état de santé des recourants n'est pas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Or, tel n'est pas le cas, en l'occurrence, les recourants ne se trouvent pas à un stade pathologique avancé et la mort n'apparaît pas comme une perspective proche (cf. consid. 5 ci-dessous). En ce qui concerne le changement de la situation politico-judiciaire de la Mongolie invoqué par les intéressés, le Tribunal constate que le rapport du 23 mars 2011 émanant du Comité des droits de l'homme de l'ONU auquel les intéressés font référence dans leur recours n'est pas déterminant, dans la mesure où celui-ci est de portée générale et ne les concerne pas directement. Pour le surplus, le Tribunal renvoie aux considérations pertinentes de la décision de l'ODM du 7 octobre 2011 concernant l'évolution de la situation politique en Mongolie. Par ailleurs, considérant également que l'intéressé n'est pas profilé politiquement dans son pays, le Tribunal retient, à l'instar de l'ODM, que le recourant n'a pas présenté d'éléments nouveaux décisifs permettant de remettre en cause le bien-fondé de la décision susmentionnée de l'autorité intimée, dans le sens d'une admission provisoire pour illicéité de l'exécution du renvoi.</w:t>
      </w:r>
    </w:p>
    <w:p>
      <w:r>
        <w:rPr>
          <w:b/>
        </w:rPr>
        <w:t>E. 4.2.3</w:t>
      </w:r>
    </w:p>
    <w:p>
      <w:r>
        <w:t>Dans ces conditions, l'exécution du renvoi des recourants ne transgresse aucun engagement de la Suisse relevant du droit international, de sorte qu'elle demeure licite (art. 44 al. 2 LAsi et 83 al. 3 LEtr).</w:t>
      </w:r>
    </w:p>
    <w:p>
      <w:r>
        <w:rPr>
          <w:b/>
        </w:rPr>
        <w:t>E. 5.1</w:t>
      </w:r>
    </w:p>
    <w:p>
      <w:r>
        <w:t>Selon l'art. 83 al. 4 LEtr,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en Suisse (ATAF 2011/50 consid. 8.2, ATAF 2009/52 consid. 10.1, ATAF 2008/34 consid. 11.2.2 et ATAF 2007/10 consid. 5.1).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cette définition des soins essentiels vise clairement à exclure les soins coûteux, les soins devant consister en des actes relativement simples (cf. Gabrielle Steffen, Droit aux soins in : Guillod / Sprumont / Despland [éd.], 13ème Journée de droit de la santé de l'institut de droit de la santé, Université de Neuchâtel, Berne 2007 [Editions Weblaw], Zurich / Bâle / Genève 2007 [Schulthess], spéc. p. 50 ss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ATAF 2009/2 consid. 9.3.2 ; JICRA 1993 n° 38).</w:t>
      </w:r>
    </w:p>
    <w:p>
      <w:r>
        <w:rPr>
          <w:b/>
        </w:rPr>
        <w:t>E. 5.3</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5.4</w:t>
      </w:r>
    </w:p>
    <w:p>
      <w:r>
        <w:t>D'une manière générale, les structures de soins en Mongolie sont gérées par le Ministère de la santé et sont articulées sur trois niveaux, basées sur les structures administratives, à savoir le niveau primaire (des dispensaires se trouvant dans les zones rurales isolées "sum", se concentrent sur les cas urgents et les soins de base), secondaire (les hôpitaux régionaux se trouvant dans les capitales locales, appelées "aimag") et tertiaire (les hôpitaux spécialisés se trouvant pour la plupart à Oulan-Bator). En outre, les Mongols peuvent se faire soigner dans des cabinets et cliniques publics et privés, les prix étant bien entendu plus élevés dans le secteur privé. Les pharmacies sont elles aussi publiques ou privées (cf. Health Service Delivery Profile, Mongolia 2012, WHO and Ministry of Health p. 2). En incluant tant les entités publiques que privées, il y aurait notamment 6'162 médecins dans l'ensemble du pays (soit environ un pour 450 habitants) de même que 319 pharmacies (cf. Internation Organization of Migration (IOM), Information on Return and Reintegration in Mongolia, Janvier 2012 p. 4).</w:t>
      </w:r>
    </w:p>
    <w:p>
      <w:r>
        <w:rPr>
          <w:b/>
        </w:rPr>
        <w:t>E. 5.5</w:t>
      </w:r>
    </w:p>
    <w:p>
      <w:r>
        <w:t>En 1994, l'assurance maladie universelle fut introduite. En 2010, le taux de couverture atteignait 82,6% de la population (Chimeddagva Dashzeveg, Inke Mathauer, Erdenechimeg Enkhee, Bayarsaikhan Dorjsuren, Tsolmongerel Tsilaajav, Chuluunzagd Batbayar, A Health Financing Review of Mongolia with a Focus on Social Health Assurance, August 2011, p. 3. Ce rapport est disponible sur le site de l'Organisation Mondiale de la santé: http://www.who.int/health_financing/documents/cov-oasis_e_11-mongolia/en/ [consulté le 19 juillet 2013]). Le taux de couverture est toutefois passé à 98,6%, suite à la prise en charge unique des primes pour certaines personnes vulnérables par l'"Human Development Fund" (OMS, Health Systems in Transition: Mongolia Health System Review, Vol.3 No 2 2013 p 30, http://www.wpro.who.int/asia_pacific_observatory/hits/series/Mongolia_Health_Systems_Review2013.pdf, consulté le 19 juillet 2013). Le financement de l'assurance maladie se fait par l'Etat, les individus et les employeurs. Pour les fonctionnaires et salariés, les cotisations s'élèvent depuis 2006 à quatre pour cent du salaire ; l'employé et l'employeur en payent chacun la moitié. Les indépendants cotisent à hauteur d'un pour cent de leurs revenus. Les personnes les plus démunies, comme les retraités, les handicapés, les enfants de moins de 16 ans, les femmes au foyer et les étudiants ont droit à une prise en charge complète des coûts par l'Etat. Pour pouvoir en bénéficier, il faut s'annoncer auprès des autorités locales et payer un montant fixé, depuis 2006, à 670 tugrik (soit environ 0,43 francs) (Dashzeveg et al., A Health Financing Review of Mongolia with a Focus on Social Health Assurance, op. cit. p. 44).</w:t>
      </w:r>
    </w:p>
    <w:p>
      <w:r>
        <w:rPr>
          <w:b/>
        </w:rPr>
        <w:t>E. 5.6</w:t>
      </w:r>
    </w:p>
    <w:p>
      <w:r>
        <w:t>La couverture des soins par l'assurance maladie s'étend du niveau primaire, qui est entièrement financé par le gouvernement, jusqu'au niveau tertiaire, moyennant une cotisation de 10 à 15 pour cent. 135 génériques et 362 médicaments de marque sont couverts par l'assurance maladie, à hauteur de 50 à 80 pour cent du prix. Le taux de remboursement des soins est déterminé par le Ministère de la santé. Les malades hospitalisés ont le droit au remboursement total de leurs médicaments, et pour les traitements ambulatoires, l'assurance rembourse pour certaines maladies (tuberculose, cancer) si les médicaments ont été prescrits par des spécialistes. Toutefois, le fait d'être affilié à une assurance-maladie ne signifie pas pour autant que la personne concernée ne devra pas supporter les frais occasionnés. Ces dernières années, les paiements directs (pay out of pocket), où les contribuables doivent directement payer de leur poche, ont atteint un taux de 50 pour cent, ce qui réduit l'accès aux soins pour les personnes aux conditions économiques modestes, qui n'ont pas droit à une prise en charge gratuite par l'Etat. A cela s'ajoute le fait que le niveau bas de rémunération du personnel soignant entraîne une importante corruption. Souvent, les patients doivent s'acquitter d'un bakchich pour accéder à un médecin de leur choix, obtenir une consultation d'urgence ou de qualité (cf. Review of the mongolian health insurance system, Kainyam Tungalag and Jan Boltman, Ulaanbaatar 2010 p. 43ss).</w:t>
      </w:r>
    </w:p>
    <w:p>
      <w:r>
        <w:rPr>
          <w:b/>
        </w:rPr>
        <w:t>E. 5.7</w:t>
      </w:r>
    </w:p>
    <w:p>
      <w:r>
        <w:t>En l'espèce, il ressort de l'attestation médicale du 23 août 2011 et des rapports médicaux des 22 juin 2013, 20 septembre 2012, 7 et 8 septembre 2011, que la recourante souffre d'une haute tension artérielle qui s'est aggravée après sa deuxième grossesse. Malgré une trithérapie médicamenteuse (Zanidip 10 mg 1cpr/jour, Co-Valsartan 160/12.5 1 cpr/jour et Bilol 5 mg 1cpr/jour, selon le rapport médical du 22 juin 2013), son hypertension reste difficile à juguler selon son médecin traitant.</w:t>
      </w:r>
    </w:p>
    <w:p>
      <w:r>
        <w:rPr>
          <w:b/>
        </w:rPr>
        <w:t>E. 5.8</w:t>
      </w:r>
    </w:p>
    <w:p>
      <w:r>
        <w:t>A la connaissance du Tribunal, les médicaments Co-Valsartan et Aldactone (selon le rapport médical du 22 juin 2013, la recourante prend désormais du Bilol à la place) sont disponibles en Mongolie, alors que le Zanidip ne l'est pas, comme le relève d'ailleurs la décision attaquée (p. 2). Néanmoins, le Tribunal est également informé que ce dernier peut être remplacé par une dizaine d'autres produits, suite à une réadaptation de la médication. Il constate dès lors que la recourante pourra poursuivre son traitement contre l'hypertension artérielle en Mongolie. Quand bien même un traitement sans Zanidip peut s'avérer moins performant, le Tribunal rappelle qu'un traitement médical d'une efficacité moindre que celui disponible en Suisse mais correspondant aux standards du pays d'origine peut être considéré comme adéquat (cf. supra consid. 5.3).</w:t>
      </w:r>
    </w:p>
    <w:p>
      <w:r>
        <w:rPr>
          <w:b/>
        </w:rPr>
        <w:t>E. 5.9</w:t>
      </w:r>
    </w:p>
    <w:p>
      <w:r>
        <w:t>Il convient encore de souligner qu'il est loisible à l'intéressée de solliciter de l'ODM une aide individuelle au retour. Elle pourrait ainsi bénéficier, cas échéant, d'une réserve du médicament Zanidip à emporter avec elle, le temps d'élaborer un nouveau traitement avec les médicaments disponibles en Mongolie, voire d'un soutien financier destiné à assurer pour un temps limité les soins médicaux nécessaires dans son pays d'origine (art. 93 al. 1 let. d LAsi et 75 de l'Ordonnance 2 sur l'asile relative au financement du 11 août 1999 [OA 2, RS 142.312]). Dans ces conditions, il peut être admis que ces facteurs lui permettront d'assumer ses besoins essentiels.</w:t>
      </w:r>
    </w:p>
    <w:p>
      <w:r>
        <w:rPr>
          <w:b/>
        </w:rPr>
        <w:t>E. 5.10</w:t>
      </w:r>
    </w:p>
    <w:p>
      <w:r>
        <w:t>Il convient enfin de relever que les problèmes de santé des enfants (obésité, asthme et phimosis) ne sont pas non plus d'une gravité telle que l'exécution de leur renvoi contreviendrait à l'art. 83 al. 4 LEtr.</w:t>
      </w:r>
    </w:p>
    <w:p>
      <w:r>
        <w:rPr>
          <w:b/>
        </w:rPr>
        <w:t>E. 6</w:t>
      </w:r>
    </w:p>
    <w:p>
      <w:r>
        <w:t>Au vu de ce qui précède, les recourants n'ont pas établi que l'exécution de leur renvoi était désormais inexigible au sens de l'art. 83 al. 4 LEtr. C'est donc à bon droit que l'ODM a rejeté leur demande de réexamen. Il s'ensuit que le recours doit être rejeté.</w:t>
      </w:r>
    </w:p>
    <w:p>
      <w:r>
        <w:rPr>
          <w:b/>
        </w:rPr>
        <w:t>E. 7</w:t>
      </w:r>
    </w:p>
    <w:p>
      <w:r>
        <w:t>Le Tribunal admet la requête d'assistance judiciaire partielle des recourants, compte tenu de leur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