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E-6043/2019 vom 12. Dezember 2019</w:t>
      </w:r>
    </w:p>
    <w:p>
      <w:r>
        <w:t>Bundesverwaltungsgericht, 2019-12-12, DE</w:t>
      </w:r>
    </w:p>
    <w:p>
      <w:r>
        <w:rPr>
          <w:b/>
        </w:rPr>
        <w:t xml:space="preserve">Quelle: </w:t>
      </w:r>
      <w:r>
        <w:t>https://mcp.opencaselaw.ch/entscheid/bvger_E-6043_2019</w:t>
      </w:r>
    </w:p>
    <w:p>
      <w:r>
        <w:t>FR: TAF E-6043/2019 du 12 décembre 2019</w:t>
      </w:r>
    </w:p>
    <w:p>
      <w:r>
        <w:t>IT: TAF E-6043/2019 del 12 dicembre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in Verbindung mit Art. 48 Abs. 1 VwVG Parteistellung zukommt (vgl. BVGE 2008/15 E. 3.2 m.w.H.). Der Beschwerdeführer suchte am 2. Mai 2017 in der Schweiz um Asyl nach.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Wie es sich damit vorliegend verhält, kann letztlich offenbleiben (vgl. aber die Ausführungen in der nachfolgenden E. 5.6).</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mehreren bei den Akten liegenden Eingaben, mit denen er um beförderliche Verfahrenserledigung gebeten hat; andererseits ergibt es sich aus der Tatsache, dass das SEM bis anhin noch nicht in der Sache entschieden hat.</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w:t>
      </w:r>
    </w:p>
    <w:p>
      <w:r>
        <w:rPr>
          <w:b/>
        </w:rPr>
        <w:t>E. 1.7</w:t>
      </w:r>
    </w:p>
    <w:p>
      <w:r>
        <w:t>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(vgl. insbesondere die nachfolgende E. 5.2), ist das bisherige Recht relevant (vgl. Abs. 1 der Übergangsbestimmungen zur Änderung des AsylG vom 25. September 2015).</w:t>
      </w:r>
    </w:p>
    <w:p>
      <w:r>
        <w:rPr>
          <w:b/>
        </w:rPr>
        <w:t>E. 2</w:t>
      </w:r>
    </w:p>
    <w:p>
      <w:r>
        <w:t>Da sich die vorliegende Beschwerde, wie nachfolgend dargelegt, als zum Vornherein unbegründet erweist, wurde gestützt auf Art. 57 Abs. 1 VwVG (e contrario) auf einen Schriftenwechsel verzichtet.</w:t>
      </w:r>
    </w:p>
    <w:p>
      <w:r>
        <w:rPr>
          <w:b/>
        </w:rPr>
        <w:t>E. 3.1</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4.3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5.1</w:t>
      </w:r>
    </w:p>
    <w:p>
      <w:r>
        <w:t>Der Beschwerdeführer verweist zur Begründung seiner Beschwerde darauf, dass er trotz mehrmaligem Ersuchen um einen Anhörungstermin und Androhung einer Rechtsverzögerungsbeschwerde erst am 20. August 2019 zu einer Anhörung vorgeladen worden sei. Die Verfahrensführung der Vorinstanz sei in zweifacher Hinsicht als fehlerhaft zu bezeichnen: Zum einen wegen der Verfahrensdauer von beinahe zwei Jahren und zum anderen, weil eine ihr zugestellte Eingabe mit Beweismitteln anscheinend nicht auffindbar sei. Wären diese Dokumente vom SEM früher zur Kenntnis genommen worden, hätte möglicherweise rascher eine Anhörung durchgeführt und ein Entscheid über sein Asylgesuch erlassen werden können. Ferner sei die Suizidalität seiner Ehefrau zur berücksichtigen, welche durch die Ungewissheit verschlimmert werde. Die Vorinstanz habe bisher auf seine Eingabe vom 20. Oktober 2019 nicht geantwortet.</w:t>
      </w:r>
    </w:p>
    <w:p>
      <w:r>
        <w:rPr>
          <w:b/>
        </w:rPr>
        <w:t>E. 5.2</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Dennoch kann nicht schon aus diesem Grund von einer gerechtfertigten Verfahrensverzögerung ausgegangen werden, zumal Personalmangel eine Verzögerung eben nicht rechtfertigt (vgl. BGE 138 II 513 E 6.4).</w:t>
      </w:r>
    </w:p>
    <w:p>
      <w:r>
        <w:rPr>
          <w:b/>
        </w:rPr>
        <w:t>E. 5.3.1</w:t>
      </w:r>
    </w:p>
    <w:p>
      <w:r>
        <w:t>Angesichts der konkreten Verfahrensgeschichte erscheint es vorliegend nicht angezeigt, allein auf die Gesamtdauer des hängigen Verfahrens abzustellen. Der Beschwerdeführer suchte am 16. Januar 2018, seine Ehefrau am 28. Januar 2019 in der Schweiz um Asyl nach. Es trifft zwar zu, dass zwischen der Asylgesuchseinreichung des Beschwerdeführers und seiner Anhörung rund 19 Monate verstrichen, und sich aus den Akten keine Hinweise dafür ergeben, dass die Vorinstanz in der Zwischenzeit - abgesehen von der Anhörung der beiden Ehepartner - konkrete Schritte zur Fortführung des Verfahrens unternommen hätte.</w:t>
      </w:r>
    </w:p>
    <w:p>
      <w:r>
        <w:rPr>
          <w:b/>
        </w:rPr>
        <w:t>E. 5.3.2</w:t>
      </w:r>
    </w:p>
    <w:p>
      <w:r>
        <w:t>Indessen ist festzustellen, dass die bisherige Dauer des Verfahrens auch durch die nachträgliche Asylgesuchseinreichung der Ehefrau des Beschwerdeführers - deren Vorbringen in seinem Asylverfahren mitberücksichtigen sind - beeinflusst worden ist. Die Anhörungen des Beschwerdeführers sowie seiner Ehefrau sind erst vor Kurzem erfolgt. Zudem hat der Beschwerdeführer mit Eingabe vom 29. August 2019 eine Reihe von fremdsprachigen Gerichtsdokumenten eingereicht, welche einer vertieften Würdigung bedürfen und allenfalls noch weitere Abklärungen notwendig machen werden.</w:t>
      </w:r>
    </w:p>
    <w:p>
      <w:r>
        <w:rPr>
          <w:b/>
        </w:rPr>
        <w:t>E. 5.3.3</w:t>
      </w:r>
    </w:p>
    <w:p>
      <w:r>
        <w:t>Die fehlende Entscheidreife des Verfahrens und damit die Unmöglichkeit eines umgehenden Entscheiderlasses war für den Beschwerdeführer im Zeitpunkt der Erhebung der Rechtsverzögerungsbeschwerde am 8. November 2019 erkennbar. Es kann insgesamt nicht geschlossen werden, das SEM hätte im Zeitpunkt der Beschwerdeerhebung den Erlass eines Entscheides über das Asylgesuch des Beschwerdeführers unrechtmässig verzögert und damit das Beschleunigungsgebot von Art. 29 Abs. 1 BV verletzt.</w:t>
      </w:r>
    </w:p>
    <w:p>
      <w:r>
        <w:rPr>
          <w:b/>
        </w:rPr>
        <w:t>E. 5.4</w:t>
      </w:r>
    </w:p>
    <w:p>
      <w:r>
        <w:t>Die Rüge, der Umstand, dass eine Eingabe der Beschwerdeführenden mit Beweismitteln an das SEM nicht mehr auffindbar sei, habe zu einer ungebührlichen Verfahrensverzögerung geführt, erscheint kaum als begründet. Den eingereichten Bestätigungen lässt sich nicht eindeutig entnehmen, dass diese Sendung tatsächlich bei der Vorinstanz eingetroffen ist. Selbst wenn dies der Fall sein sollte und es dem SEM zuzuschreiben wäre, dass diese Dokumente bisher nicht Eingang in die Akten gefunden haben, besteht kein Grund zur Annahme, dies habe zu einer wesentlichen Verzögerung des Verfahrens geführt.</w:t>
      </w:r>
    </w:p>
    <w:p>
      <w:r>
        <w:rPr>
          <w:b/>
        </w:rPr>
        <w:t>E. 5.5</w:t>
      </w:r>
    </w:p>
    <w:p>
      <w:r>
        <w:t>Der geltend gemachte schlechte Gesundheitszustand der Ehefrau des Beschwerdeführers unterstreicht zwar die Bedeutung der Einhaltung des Beschleunigungsgebots im vorliegenden Fall, vermag jedoch nichts daran zu ändern, dass dieses von der Vorinstanz vorliegend insgesamt betrachtet nicht verletzt worden ist.</w:t>
      </w:r>
    </w:p>
    <w:p>
      <w:r>
        <w:rPr>
          <w:b/>
        </w:rPr>
        <w:t>E. 5.6</w:t>
      </w:r>
    </w:p>
    <w:p>
      <w:r>
        <w:t>Schliesslich erscheint das Vorgehen des Beschwerdeführers als widersprüchlich, dass dieser die Vorinstanz mit Eingabe vom 20. Oktober 2019 um Fällung eines Entscheids bis Ende Jahr ersuchte, dessen ungeachtet aber bereits am 16. November 2019 die vorliegende Rechtsverzögerungsbeschwerde einreichte (womit er möglicherweise die von ihm verlangte Erledigung des Asylverfahren bis Ende Jahr selber verunmöglichte).</w:t>
      </w:r>
    </w:p>
    <w:p>
      <w:r>
        <w:rPr>
          <w:b/>
        </w:rPr>
        <w:t>E. 6</w:t>
      </w:r>
    </w:p>
    <w:p>
      <w:r>
        <w:t>Aufgrund des Gesagten erweist sich die Rüge der Rechtsverzögerung im Zeitpunkt der Beschwerdeerhebung am 16. November 2019 als unbegründet, weshalb die Beschwerde abzuweisen ist. Die vorinstanzlichen Akten gehen zur zügigen Fortführung des Asylverfahrens zurück an das SEM.</w:t>
      </w:r>
    </w:p>
    <w:p>
      <w:r>
        <w:rPr>
          <w:b/>
        </w:rPr>
        <w:t>E. 7</w:t>
      </w:r>
    </w:p>
    <w:p>
      <w:r>
        <w:t>Das Beschwerdeverfahren ist mit vorliegendem Urteil abgeschlossen, weshalb sich der Antrag auf Befreiung von der Kostenvorschusspflicht als gegenstandslos erweist.</w:t>
      </w:r>
    </w:p>
    <w:p>
      <w:r>
        <w:rPr>
          <w:b/>
        </w:rPr>
        <w:t>E. 8</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