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E-603/2016 vom 26. Juni 2017</w:t>
      </w:r>
    </w:p>
    <w:p>
      <w:r>
        <w:t>Bundesverwaltungsgericht, 2017-06-26, DE</w:t>
      </w:r>
    </w:p>
    <w:p>
      <w:r>
        <w:rPr>
          <w:b/>
        </w:rPr>
        <w:t xml:space="preserve">Quelle: </w:t>
      </w:r>
      <w:r>
        <w:t>https://mcp.opencaselaw.ch/entscheid/bvger_E-603_2016</w:t>
      </w:r>
    </w:p>
    <w:p>
      <w:r>
        <w:t>FR: TAF E-603/2016 du 26 juin 2017</w:t>
      </w:r>
    </w:p>
    <w:p>
      <w:r>
        <w:t>IT: TAF E-603/2016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zum heutigen 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3.3</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w:t>
      </w:r>
    </w:p>
    <w:p>
      <w:r>
        <w:rPr>
          <w:b/>
        </w:rPr>
        <w:t>E. 3.4</w:t>
      </w:r>
    </w:p>
    <w:p>
      <w:r>
        <w:t>Im Lichte von Art. 3 Abs. 2 Dublin-III-VO ist namentlich zu prüfen, ob es wesentliche Gründe für die Annahme gibt, das Asylverfahren und die Aufnahmebedingungen für Asylsuchende in Ungarn würden systemische Schwachstellen aufweisen, welche eine Gefahr einer unmenschlichen oder entwürdigenden Behandlung im Sinne des Art. 4 der Charta der Grundrechte der Europäischen Union (2012/C 326/02) mit sich bringen und welche die grundsätzliche Zuständigkeit Ungarns im Sinne von Art. 3 Abs. 1 Dublin-III-VO durchbrechen würden.</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abschliessend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5</w:t>
      </w:r>
    </w:p>
    <w:p>
      <w:r>
        <w:t>Bei diesem Ausgang des Verfahrens sind keine Kosten aufzuerlegen (Art. 63 Abs. 1 und 2 VwVG).</w:t>
      </w:r>
    </w:p>
    <w:p>
      <w:r>
        <w:rPr>
          <w:b/>
        </w:rPr>
        <w:t>E. 6</w:t>
      </w:r>
    </w:p>
    <w:p>
      <w:r>
        <w:t>Soweit aus den Akten ersichtlich, sind dem Beschwerdeführer keine entschädigungspflichtigen Parteikosten entstanden,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