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E-6039/2014 vom 12. Januar 2015</w:t>
      </w:r>
    </w:p>
    <w:p>
      <w:r>
        <w:t>Bundesverwaltungsgericht, 2015-01-12, DE</w:t>
      </w:r>
    </w:p>
    <w:p>
      <w:r>
        <w:rPr>
          <w:b/>
        </w:rPr>
        <w:t xml:space="preserve">Quelle: </w:t>
      </w:r>
      <w:r>
        <w:t>https://mcp.opencaselaw.ch/entscheid/bvger_E-6039_2014</w:t>
      </w:r>
    </w:p>
    <w:p>
      <w:r>
        <w:t>FR: TAF E-6039/2014 du 12 janvier 2015</w:t>
      </w:r>
    </w:p>
    <w:p>
      <w:r>
        <w:t>IT: TAF E-6039/2014 del 12 gennaio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Den vorliegenden Akten ist zu entnehmen, dass die Beschwerdeführerin im massgeblichen Zeitpunkt der Asylgesuchseinreichung im Besitz eines gültigen, durch die italienischen Behörden ausgestellten Schengen-Visums war, woraus sich gemäss den Kriterien der Dublin-III-VO die Zuständigkeit Italiens für die Behandlung ihres Asylverfahrens ergibt (Art. 12 Abs. 2 Dublin-III-VO). Das SEM ersuchte die italienischen Behörden am 18. Juli 2014 um Aufnahme der Beschwerdeführerin gestützt auf Art. 21 Dublin-III-VO. Die italienischen Behörden liessen das Übernahmeersuchen innert der in Art. 22 Abs. 1 Dublin-III-VO vorgesehenen Frist unbeantwortet, womit sie die Zuständigkeit Italiens implizit anerkannten (Art. 22 Abs. 7 Dublin-III-VO). Die grundsätzliche Zuständigkeit Italiens, welche im Übrigen von der Beschwerdeführerin nicht bestritten wurde, ist somit gegeben.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5.2.1</w:t>
      </w:r>
    </w:p>
    <w:p>
      <w:r>
        <w:t>Die schweizerischen Behörden müssen zwar dafür sorgen, dass die Be­schwerdeführerin im Falle einer Überstellung nach Italien nicht einer dem internationalen Recht widersprechenden Behandlung ausgesetzt ist; indessen ist Italien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der Beschwerdeführerin,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 (vgl. EGMR, M.S.S. gegen Belgien und Griechenland [Appl. No. 30696/09], Urteil vom 21. Januar 2011, § 84 85 und 250; ebenso Urteil des Gerichtshofes der Europäischen Union [EuGH] vom 21. Dezem­ber 2011 in der Rechtssache C-411/10 und C-493).</w:t>
      </w:r>
    </w:p>
    <w:p>
      <w:r>
        <w:rPr>
          <w:b/>
        </w:rPr>
        <w:t>E. 5.2.2</w:t>
      </w:r>
    </w:p>
    <w:p>
      <w:r>
        <w:t>Italien ist als nach Art. 3 Abs. 1 Dublin-III-VO zuständiger Staat gehalten, die Aufnahmerichtline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von der Beschwerde­führerin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alleinstehenden Frauen, einzuholen wären, geht aus dem zitierten EGMR-Urteil nicht hervor. Den Ausführungen der Beschwerdeführerin sind auch keine stichhaltigen Anhaltspunkte dafür zu entnehmen, dass die italienischen Behörden in ihrem konkreten Fall ihren Verpflichtungen nicht nachkommen und ihr den benötigten Schutz nicht gewähren würden. Sie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 Den Akten sind auch keine konkreten Hinweise für die Annahme zu entnehmen,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auf dem Rechtsweg einfordern (vgl. Art. 26 Aufnahmerichtlinie).</w:t>
      </w:r>
    </w:p>
    <w:p>
      <w:r>
        <w:rPr>
          <w:b/>
        </w:rPr>
        <w:t>E. 5.2.3</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Anlässlich der Befragung zur Person bezeichnete die Beschwerdeführerin ihren Gesundheitszustand auf ausdrückliche Nachfrage hin als "gut" (vgl. Protokoll S. 9) und auch in der Stellungnahme vom 24. Juli 2014 wurde in keiner Weise auf gesundheitliche Probleme hingewiesen. Demnach besteht Anlass, die Schwere der in der Beschwerde geltend gemachten psychischen Probleme in Frage zu stellen. Im Arztbericht des Kantonsspitals D._______ vom 17. November 2014 wurde eine akute Belastungsreaktion mit Hyperventilation im Zusammenhang mit einer Angst vor einer allfälligen Rückschaffung nach Sri Lanka diagnostiziert, und die Beschwerdeführerin konnte nach erfolgter Krisenintervention nach einigen Tagen wieder nach Hause entlassen werden. In der Bestätigung von "E._______" vom 14. November 2014 wird keine Diagnose gestellt. Diese Arztzeugnisse lassen zwar auf eine zwischenzeitliche akute Krise, nicht aber auf eine besonders schwere psychische Erkrankung der Beschwerdeführerin schliessen, welche einer Überstellung nach Italien entgegenstehen würde. Insbesondere ist die behauptete Suizidalität der Beschwerdeführerin in keiner Weise belegt. Sie konnte nicht nachweisen, dass sie nicht reisefähig sei oder eine Überstellung ihre Gesundheit ernsthaft gefährden würde. Ihr Gesundheitszustand vermag eine Unzulässigkeit im Sinne dieser restriktiven Rechtsprechung nicht zu rechtfertigen. Die geltend gemachten gesundheitlichen Probleme sind auch nicht von einer derartigen Schwere, dass aus humanitären Gründen von einer Überstellung abgesehen werden müsste (vgl. BVGE 2011/9 E. 7 mit Hinweisen auf die Praxis des EGMR): Das Bundesverwaltungsgericht geht in seiner Praxis davon aus, dass Italien über eine ausreichende medizinische Infrastruktur zur Behandlung der psychischen und physischen Gesundheitsbeschwerden von Asyl­suchenden verfügt (vgl. hierzu und zum Folgenden etwa die Urteile D-2524/2014 vom 21. August 2014 S. 12 f., E-3820/2014 vom 18. September 2014 E. 7, E-3947/2014 vom 25. September 2014 E. 4, D-5617/2014 vom 9. Oktober 2014 S. 6 f. und D-5814/2014 vom 20. Oktober 2014 S. 8 f.).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italienischen Behörden vorgängig in geeigneter Weise über die spezifischen medizinischen Umstände informieren (vgl. Art. 31 f. Dublin-III-VO), wie die Vorinstanz dies in ihrer Vernehmlassung explizit erwähnt hat.</w:t>
      </w:r>
    </w:p>
    <w:p>
      <w:r>
        <w:rPr>
          <w:b/>
        </w:rPr>
        <w:t>E. 5.3</w:t>
      </w:r>
    </w:p>
    <w:p>
      <w:r>
        <w:t>Nach dem Gesagten besteht kein Grund für eine Anwendung von Art. 3 Abs. 2 Dublin-III-VO beziehungsweise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Italien der für die Behandlung des Asylgesuchs der Beschwerdeführerin zuständige Mitgliedstaat gemäss Dublin-III-VO. Italien ist verpflichtet, das Asylverfahren gemäss Art. 21, 22 und 29 Dublin-III-VO aufzunehmen.</w:t>
      </w:r>
    </w:p>
    <w:p>
      <w:r>
        <w:rPr>
          <w:b/>
        </w:rPr>
        <w:t>E. 6</w:t>
      </w:r>
    </w:p>
    <w:p>
      <w:r>
        <w:t>Nach dem Gesagten erweisen sich die vorinstanzlichen Erwägungen als zutreffend (soweit sie vom Bundesverwaltungsgericht angesichts dessen eingeschränkter Kognition inhaltlich überhaupt geprüft werden können). 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soweit darauf einzutreten ist, und die Verfügung des SEM zu bestätigen.</w:t>
      </w:r>
    </w:p>
    <w:p>
      <w:r>
        <w:rPr>
          <w:b/>
        </w:rPr>
        <w:t>E. 9</w:t>
      </w:r>
    </w:p>
    <w:p>
      <w:r>
        <w:t>Bei diesem Ausgang des Verfahrens wären die Kosten grundsätzlich der Beschwerdeführerin aufzuerlegen (Art. 63 Abs. 1 VwVG). Nachdem ihr aber mit Zwischenverfügung vom 19. November 2014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