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E-6038/2023 vom 10. November 2023</w:t>
      </w:r>
    </w:p>
    <w:p>
      <w:r>
        <w:t>Bundesverwaltungsgericht, 2023-11-10, FR</w:t>
      </w:r>
    </w:p>
    <w:p>
      <w:r>
        <w:rPr>
          <w:b/>
        </w:rPr>
        <w:t xml:space="preserve">Quelle: </w:t>
      </w:r>
      <w:r>
        <w:t>https://mcp.opencaselaw.ch/entscheid/bvger_E-6038_2023</w:t>
      </w:r>
    </w:p>
    <w:p>
      <w:r>
        <w:t>FR: TAF E-6038/2023 du 10 novembre 2023</w:t>
      </w:r>
    </w:p>
    <w:p>
      <w:r>
        <w:t>IT: TAF E-6038/2023 del 10 novembre 2023</w:t>
      </w:r>
    </w:p>
    <w:p>
      <w:pPr>
        <w:pStyle w:val="Heading2"/>
      </w:pPr>
      <w:r>
        <w:t>Regeste</w:t>
      </w:r>
    </w:p>
    <w:p>
      <w:r>
        <w:t>Asile (non-entrée en matière) et renvoi (pas de demande d'asile - art. 31a al.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