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E-6037/2024 vom 30. September 2024</w:t>
      </w:r>
    </w:p>
    <w:p>
      <w:r>
        <w:t>Bundesverwaltungsgericht, 2024-09-30, FR</w:t>
      </w:r>
    </w:p>
    <w:p>
      <w:r>
        <w:rPr>
          <w:b/>
        </w:rPr>
        <w:t xml:space="preserve">Quelle: </w:t>
      </w:r>
      <w:r>
        <w:t>https://mcp.opencaselaw.ch/entscheid/bvger_E-6037_2024</w:t>
      </w:r>
    </w:p>
    <w:p>
      <w:r>
        <w:t>FR: TAF E-6037/2024 du 30 septembre 2024</w:t>
      </w:r>
    </w:p>
    <w:p>
      <w:r>
        <w:t>IT: TAF E-6037/2024 del 30 settembre 2024</w:t>
      </w:r>
    </w:p>
    <w:p>
      <w:pPr>
        <w:pStyle w:val="Heading2"/>
      </w:pPr>
      <w:r>
        <w:t>Regeste</w:t>
      </w:r>
    </w:p>
    <w:p>
      <w:r>
        <w:t>Rectification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rubrum de l’arrêt E-5357/2024 du 18 septembre 2024, la composition du collège doit être corrigée comme suit : Camilla Mariéthoz Wyssen (présidente du collège),</w:t>
      </w:r>
    </w:p>
    <w:p>
      <w:r>
        <w:t>Grégory Sauder, David R. Wenger, juges,</w:t>
      </w:r>
    </w:p>
    <w:p>
      <w:r>
        <w:t>Jean-Marie Staubli, greffier.</w:t>
      </w:r>
    </w:p>
    <w:p>
      <w:r>
        <w:rPr>
          <w:b/>
        </w:rPr>
        <w:t>E. 2</w:t>
      </w:r>
    </w:p>
    <w:p>
      <w:r>
        <w:t>Il n’est pas perçu de frais de procédure.</w:t>
      </w:r>
    </w:p>
    <w:p>
      <w:r>
        <w:rPr>
          <w:b/>
        </w:rPr>
        <w:t>E. 3</w:t>
      </w:r>
    </w:p>
    <w:p>
      <w:r>
        <w:t>Le présent arrêt est adressé à la mandataire du requérant, au SEM et à l'autorité cantonale compétente.</w:t>
      </w:r>
    </w:p>
    <w:p>
      <w:r>
        <w:t>La présidente du collège : Le greffier :</w:t>
      </w:r>
    </w:p>
    <w:p>
      <w:r>
        <w:t>Camilla Mariéthoz Wyssen Jean-Marie Staubli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