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E-6031/2020 vom 29. Oktober 2020</w:t>
      </w:r>
    </w:p>
    <w:p>
      <w:r>
        <w:t>Bundesverwaltungsgericht, 2020-10-29, DE</w:t>
      </w:r>
    </w:p>
    <w:p>
      <w:r>
        <w:rPr>
          <w:b/>
        </w:rPr>
        <w:t xml:space="preserve">Quelle: </w:t>
      </w:r>
      <w:r>
        <w:t>https://mcp.opencaselaw.ch/entscheid/bvger_E-6031_2020_d20201029</w:t>
      </w:r>
    </w:p>
    <w:p>
      <w:r>
        <w:t>FR: TAF E-6031/2020 du 29 octobre 2020</w:t>
      </w:r>
    </w:p>
    <w:p>
      <w:r>
        <w:t>IT: TAF E-6031/2020 del 29 ottobre 2020</w:t>
      </w:r>
    </w:p>
    <w:p>
      <w:pPr>
        <w:pStyle w:val="Heading2"/>
      </w:pPr>
      <w:r>
        <w:t>Regeste</w:t>
      </w:r>
    </w:p>
    <w:p>
      <w:r>
        <w:t>Asyl und Wegweisung | Asyl und Wegweisung; Verfügung des SEM vom 29. Oktober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 setzesartikel (Art. 83) ist unverändert vom AuG ins AIG übernommen wor- den.</w:t>
      </w:r>
    </w:p>
    <w:p>
      <w:r>
        <w:rPr>
          <w:b/>
        </w:rPr>
        <w:t>E. 1.5</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t>E-6031/2020 Seite 6</w:t>
      </w:r>
    </w:p>
    <w:p>
      <w:r>
        <w:rPr>
          <w:b/>
        </w:rPr>
        <w:t>E. 2.1</w:t>
      </w:r>
    </w:p>
    <w:p>
      <w:r>
        <w:t>Die angefochtene Verfügung wurde in deutscher Sprache begründet, das Verfügungsdispositiv wurde zweisprachig, in deutscher und französi- scher Sprache, verfasst. Begründet wurde dies in Ziffer I der Verfügung mit personellen Engpässen beim SEM aufgrund der vielen hängigen Asylge- suche, welche vor dem 1. März 2019 eingereicht worden seien.</w:t>
      </w:r>
    </w:p>
    <w:p>
      <w:r>
        <w:rPr>
          <w:b/>
        </w:rPr>
        <w:t>E. 2.2</w:t>
      </w:r>
    </w:p>
    <w:p>
      <w:r>
        <w:t>Gemäss Art. 16 Abs. 2 AsylG werden Verfügungen des SEM grund- sätzlich in der Sprache eröffnet, die am Wohnort der Asylsuchenden Amts- sprache ist. Die Beschwerdeführenden wurde dem Kanton Wallis zugewie- sen, dessen Landessprachen Deutsch und Französisch sind (vgl. Art. 12 Abs. 1 der Verfassung des Kantons Wallis vom 8. März 1907 [SR 131.232]). Am Wohnort der Beschwerdeführenden, in H._______ im Bezirk K._______, ist aber einzig die französische Sprache Amtssprache. Demnach wäre der Asylentscheid grundsätzlich in französischer Sprache zu eröffnen gewesen.</w:t>
      </w:r>
    </w:p>
    <w:p>
      <w:r>
        <w:rPr>
          <w:b/>
        </w:rPr>
        <w:t>E. 2.3</w:t>
      </w:r>
    </w:p>
    <w:p>
      <w:r>
        <w:t>Von dem in Art. 16 Abs. 2 AsylG statuierten Grundsatz kann das SEM gestützt auf Art. 16 Abs. 3 AsylG abweichen, wenn die asylsuchende Per- son oder deren Rechtsvertretung einer anderen Amtssprache mächtig ist (Bst. a), dies unter Berücksichtigung der Gesuchseingänge oder der Per- sonalsituation vorübergehend für eine effiziente und fristgerechte Ge- suchserledigung erforderlich ist (Bst. b) oder die asylsuchende Person von einem Zentrum des Bundes einem Kanton mit einer anderen Amtssprache zugewiesen wird (Bst. c). Diese Ausnahmen werden indessen gemäss Rechtsprechung begrenzt durch das Recht auf eine wirksame Beschwerde und einen fairen Prozess (Art. 29 Abs. 1 BV und Art. 13 EMRK). Wenn davon ausgegangen werden muss, dass die Partei den in einer anderen Amtssprache verfassten Entscheid nicht ausreichend verstanden hat, ist die angefochtene Verfügung grundsätzlich zu kassieren, sofern die be- schwerdeführende Person über keine professionelle Rechtsvertretung ver- fügt (vgl. dazu beispielsweise das Urteil des BVGer D-1651/2020 vom 1. Juni 2022 E. 4.2 oder D-1361/2020 vom 3. November 2020 E. 6.3, mit Hinweis auf Entscheide und Mitteilungen der Schweizerischen Asylrekurs- kommission [EMARK] 2004 Nr. 29).</w:t>
      </w:r>
    </w:p>
    <w:p>
      <w:r>
        <w:rPr>
          <w:b/>
        </w:rPr>
        <w:t>E. 2.4</w:t>
      </w:r>
    </w:p>
    <w:p>
      <w:r>
        <w:t>Die Vorinstanz beruft sich auf die Ausnahme im Sinne von Art. 16 Abs. 3 Bst. b AsylG, verweist auf ihre Personalressourcen und erklärt, es handle sich um eine temporäre Massnahme im Interesse des effizienten Abbaus von Altfällen. Diese Begründung erscheint grundsätzlich geeignet,</w:t>
      </w:r>
    </w:p>
    <w:p>
      <w:r>
        <w:t>E-6031/2020 Seite 7 um die Anwendung der erwähnten Ausnahmeklausel zu rechtfertigen. Aus- serdem werden die Beschwerdeführenden durch eine professionelle Rechtsvertreterin vertreten. Schliesslich geht aus der Beschwerdebegrün- dung deutlich hervor, dass die Rechtsvertreterin den Inhalt der Verfügung verstanden hat. Den Beschwerdeführenden war es somit mit ihrer Hilfe ohne weiteres möglich, eine in jeder Hinsicht rechtsgenügliche Be- schwerde einzureichen. Anderes wird im Rechtsmittelverfahren durch die Beschwerdeführenden auch nicht behauptet. Im Ergebnis erweist sich die Abweichung vom Grundsatz von Art. 16 Abs. 2 AsylG als zulässig.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Im vorliegenden Verfahren wurden die Akten des Asylverfahrens des Bru- ders des Beschwerdeführers beigezogen (vgl. Bst. A.c supra).</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w:t>
      </w:r>
    </w:p>
    <w:p>
      <w:r>
        <w:t>E-6031/2020 Seite 8 dabei ständiger Praxis. Darauf kann hier verwiesen werden (vgl. BVGE 2015/3 E. 6.5.1 m.w.H.).</w:t>
      </w:r>
    </w:p>
    <w:p>
      <w:r>
        <w:rPr>
          <w:b/>
        </w:rPr>
        <w:t>E. 6.1</w:t>
      </w:r>
    </w:p>
    <w:p>
      <w:r>
        <w:t>Die Vorinstanz bringt in der angefochtenen Verfügung vor, aus den je- weiligen Schilderungen in der BzP und den Anhörungen würden sich zahl- reiche Unstimmigkeiten und Widersprüche ergeben. Die Vorbringen hielten den Anforderungen von Art. 7 AsylG nicht stand, so dass deren flüchtlings- rechtliche Relevanz nicht geprüft werden müsse.</w:t>
      </w:r>
    </w:p>
    <w:p>
      <w:r>
        <w:rPr>
          <w:b/>
        </w:rPr>
        <w:t>E. 6.2</w:t>
      </w:r>
    </w:p>
    <w:p>
      <w:r>
        <w:t>In der Vernehmlassung vom 22. Januar 2021 führt das SEM aus, es habe in seinem Asylentscheid unter Verweis auf die fehlende Glaubhaf- tigkeit auf die Prüfung der flüchtlingsrechtlichen Relevanz der Vorbringen der Beschwerdeführenden verzichtet, habe aber der Vollständigkeit halber darauf hingewiesen, dass im Iran grundsätzlich eine Schutzinfrastruktur für Opfer häuslicher Gewalt vorhanden sei, und sich eine Erörterung zu die- sem Punkt ausdrücklich vorbehalten. Sowohl Zwangsheiraten als auch häusliche Gewalt seien im Iran weit verbreitet. Für Opfer existiere jedoch eine Schutzinfrastruktur, die sowohl staatliche als auch zivilgesellschaftli- che Teile umfasse. Entsprechende Angebote gebe es im ganzen Iran, al- lerdings würden sie den tatsächlichen Bedarf nicht abdecken können. Den- noch könne vom grundsätzlichen Schutzwillen und von der Schutzfähigkeit der iranischen Behörden ausgegangen werden. In allen grösseren Städten im Iran würden Einrichtungen der Social Welfare Organization (SWO) be- stehen. Darunter seien auch die Social Emergency Center, welche als Erst- anlaufstelle auch für Opfer häuslicher Gewalt dienten und über die allge- meine Notfallnummer 123 erreicht werden könnten. Weder der Beschwer- deführer noch die Beschwerdeführerin hätten in ihren Anhörungen oder im sonstigen Asylverfahren Versuche irgendwelcher Art erwähnt, staatliche oder private Schutzinfrastrukturen in Anspruch genommen zu haben. Gleichzeitig gebe es keinen Grund zur Annahme, dass sie sich über diese Schutzinfrastruktur nicht hätten informieren oder entsprechende Einrich- tungen nicht hätten aufsuchen können, zumal sie kurz vor ihrer Ausreise auch ohne weiteres gemeinsam das Elternhaus der Beschwerdeführerin verlassen und in ein Spital hätten gehen können, als ihre Tochter krank gewesen sei. Die Beschwerdeführenden hätten somit die Möglichkeiten der Schutzsuche offensichtlich nicht ausgeschöpft, weshalb das Vorbrin- gen flüchtlingsrechtlich nicht relevant sei. Zum in der Beschwerde geltend gemachten Vorwurf, die Vorinstanz habe dem Beschwerdeführer einen kurdischen Dolmetscher – wie er dies verlangt habe – verweigert, sei fest- zuhalten, dass sich im Protokoll der BzP kein Hinweis darauf finde. Zudem</w:t>
      </w:r>
    </w:p>
    <w:p>
      <w:r>
        <w:t>E-6031/2020 Seite 9 habe der Beschwerdeführer in der BzP angegeben, Farsi genügend gut für eine Anhörung zu verstehen, sowie am Ende der BzP gesagt, er habe den (Farsi sprechenden) Dolmetscher sehr gut verstanden.</w:t>
      </w:r>
    </w:p>
    <w:p>
      <w:r>
        <w:rPr>
          <w:b/>
        </w:rPr>
        <w:t>E. 6.3</w:t>
      </w:r>
    </w:p>
    <w:p>
      <w:r>
        <w:t>In der Beschwerde befassen sich die Beschwerdeführenden mit der von der Vorinstanz festgestellten Unglaubhaftigkeit ihrer Ausführungen. In der Replik vom 10. Februar 2021 wird sodann festgehalten, die beigeleg- ten Dokumente der Menschenrechtsorganisation Hengaw zeigten deutlich, dass kurdische Frauen im Iran auch heute noch Opfer von Ehrverbrechen seien. Der Zugang zu staatlichem und zivilem Schutz sei völlig unzu- reichend. Ferner habe der Beschwerdeführer auf dem Weg zum Kranken- haus einzig die Sorge gehabt, das Leben seiner Frau, seiner Tochter und sein eigenes zu retten. Zu diesem Zeitpunkt habe er nicht einmal daran gedacht, von irgendjemandem Schutz zu erbitten. Selbst wenn er dies ge- tan hätte, sei er davon überzeugt, dass die Behörde nicht in der Lage ge- wesen wären, die Familie zu schützen, da die Väter der beiden Familien bereits beschlossen hätten, die Frau von E._______ zu töten.</w:t>
      </w:r>
    </w:p>
    <w:p>
      <w:r>
        <w:rPr>
          <w:b/>
        </w:rPr>
        <w:t>E. 7.1</w:t>
      </w:r>
    </w:p>
    <w:p>
      <w:r>
        <w:t>Zunächst ist darauf hinzuweisen, dass das Bundesverwaltungsgericht bei der Beurteilung der Asylgründe nicht an die Begründung der Vorinstanz gebunden ist (Art. 62 Abs. 4 VwVG); es kann – wie in casu – die Be- schwerde auch aus anderen Überlegungen als jenen der Vorinstanz ab- weisen (sog. Motivsubstitution; vgl. MADELEINE CAMPRUBI in: Auer/Mül- ler/Schindler [Hrsg.], Kommentar zum Bundesgesetz über das Verwal- tungsverfahren, 2. Aufl. 2019, N. 16 zu Art. 62 VwVG; KÖLZ/HÄNER/BERT- SCHI, Verwaltungsverfahren und Verwaltungsrechtspflege des Bundes, 3. Aufl. 2013, S. 398, Rz. 1136).</w:t>
      </w:r>
    </w:p>
    <w:p>
      <w:r>
        <w:rPr>
          <w:b/>
        </w:rPr>
        <w:t>E. 7.2</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 gefügt worden sind beziehungsweise zu werden drohen (vgl. BVGE 2008/4 E. 5.2 S. 37). Aufgrund der Subsidiarität des flüchtlingsrechtlichen Schut- zes setzt die Zuerkennung der Flüchtlingseigenschaft ausserdem voraus, dass die betroffene Person in ihrem Heimatstaat keinen adäquaten Schutz finden kann, weil dort keine Infrastruktur besteht, die ihr Schutz bieten</w:t>
      </w:r>
    </w:p>
    <w:p>
      <w:r>
        <w:t>E-6031/2020 Seite 10 könnte (vgl. Entscheidungen und Mitteilungen der Schweizerischen Asyl- rekurskommission [EMARK] 2006 Nr. 18 E. 11.2 S. 204 f.), oder weil der Staat ihr keinen Schutz gewährt, obwohl er dazu in der Lage wäre (vgl. BVGE 2011/51 E. 7.1 und E. 7.4 S. 1017 f. m.w.H.). Als adäquat zu quali- fizieren ist der Schutz vor privater Verfolgung, wenn im Heimatstaat eine funktionierende und effiziente Schutzinfrastruktur zur Verfügung steht, also in erster Linie polizeiliche Aufgaben wahrnehmende Organe und ein Rechts- und Justizsystem, das eine effektive Strafverfolgung ermöglicht, vorhanden sind (vgl. BVGE 2011/51 E. 7.3). Ein Schutzbedürfnis besteht, wenn die vorhandene Schutzinfrastruktur der von Verfolgung betroffenen Person nicht zugänglich ist oder ihr deren Inanspruchnahme aus individu- ellen Gründen nicht zuzumuten ist (vgl. u.a. Urteil des BVGer E-3673/2018 vom 10. Dezember 2020 E. 6.2 m.w.H.).</w:t>
      </w:r>
    </w:p>
    <w:p>
      <w:r>
        <w:rPr>
          <w:b/>
        </w:rPr>
        <w:t>E. 8.1</w:t>
      </w:r>
    </w:p>
    <w:p>
      <w:r>
        <w:t>Vorliegend machen die Beschwerdeführenden geltend, sie fürchteten sich vor Übergriffen durch ihre beiden Familien. Insbesondere der Be- schwerdeführer führt anlässlich seiner Anhörung aus, er sei von seiner Fa- milie verachtet und beschimpft worden. Zudem hätten seine Brüder ihn ge- schlagen. Er habe auch seine Frau schlagen müssen, da seine Familie ihm gesagt habe, er sei kein Mensch und kein Mann.</w:t>
      </w:r>
    </w:p>
    <w:p>
      <w:r>
        <w:rPr>
          <w:b/>
        </w:rPr>
        <w:t>E. 8.2</w:t>
      </w:r>
    </w:p>
    <w:p>
      <w:r>
        <w:t>Die Ausführungen der Beschwerdeführenden beinhalten jedoch kein flüchtlingsrechtlich relevantes Motiv gemäss Art. 3 Abs. 1 AsylG (Verfol- gung aufgrund der Rasse, Religion, Nationalität, Zugehörigkeit zu einer be- stimmten sozialen Gruppe oder wegen der politischen Anschauung). Die Beschwerdeführerin habe ausserehelichen sexuellen Kontakt zum Leiter der Schule gehabt, an welcher sie eine Ausbildung zur (…) gemacht habe. Dies hätten ihre beiden Familien in Erfahrung gebracht, hätten sie aus die- sem Grund eingesperrt und den Beschwerdeführer de facto gezwungen, sie zu schlagen, was er auch getan habe. Das Motiv, welches den Nach- stellungen der Beschwerdeführenden durch ihre Familien zugrunde liegt, ist Rache. Die beiden Familien der Beschwerdeführenden fühlten sich of- fensichtlich in der Ehre verletzt und wollten diese unter Anwendung von körperlichem Zwang gegen die Beschwerdeführenden wiederherstellen. Da aber Rache kein Motiv gemäss Art. 3 AsylG ist, weisen die Vorbringen der Beschwerdeführenden keine flüchtlingsrechtliche Relevanz auf. An die- ser Einschätzung ändern auch die mit Eingabe vom 10. Februar 2021 ein- gereichten Berichte der Hengaw Organization for Human Rights nichts.</w:t>
      </w:r>
    </w:p>
    <w:p>
      <w:r>
        <w:t>E-6031/2020 Seite 11</w:t>
      </w:r>
    </w:p>
    <w:p>
      <w:r>
        <w:rPr>
          <w:b/>
        </w:rPr>
        <w:t>E. 8.3</w:t>
      </w:r>
    </w:p>
    <w:p>
      <w:r>
        <w:t>Darüber hinaus ist, nach der sogenannten Schutztheorie (vgl. hierzu EMARK 2006 Nr. 18) nicht-staatliche Verfolgung flüchtlingsrechtlich nur dann relevant, wenn der Staat unfähig oder nicht willens ist, Schutz vor einer solchen Verfolgung zu bieten. Eine Garantie für langfristigen indivi- duellen Schutz der von nicht-staatlicher Verfolgung bedrohten Person kann dabei nicht verlangt werden. So kann es keinem Staat gelingen, jederzeit und überall die absolute Sicherheit seiner Bürgerinnen und Bürger zu ge- währleisten. Hingegen muss der Staat eine funktionierende und effiziente Schutzinfrastruktur zur Verfügung stellen. Zu denken ist an funktionierende polizeiliche Einrichtungen und ein verlässliches Rechts- und Justizsystem. Zudem muss die Inanspruchnahme des Schutzsystems der betroffenen Person objektiv zugänglich und individuell zumutbar sein, was jeweils im Rahmen einer Einzelfallprüfung unter Berücksichtigung des länderspezifi- schen Kontextes zu beurteilen ist (vgl. BVGE 2011/51 E. 7.3 f. m.w.H.; Ur- teile des BVGer E-5352/2017 vom 12. Februar 2019 E. 7.3.1 und E-4446/2018 vom 23. Januar 2018 E. 6.2.1).</w:t>
      </w:r>
    </w:p>
    <w:p>
      <w:r>
        <w:rPr>
          <w:b/>
        </w:rPr>
        <w:t>E. 8.4</w:t>
      </w:r>
    </w:p>
    <w:p>
      <w:r>
        <w:t>Hinsichtlich der geltend gemachten Übergriffe durch die Familien der Beschwerdeführenden an ihnen ist festzuhalten, dass sie diese nicht bei den Behörden gemeldet haben. Den Behörden kann deshalb auch kein mangelnder Schutzwille vorgeworfen werden. Des Weiteren geht das Ge- richt in seiner neueren Rechtsprechung generell von der Schutzfähigkeit und -bereitschaft der iranischen Behörden gegenüber Frauen in Bedräng- nis und namentlich bei häuslicher Gewalt aus (vgl. Urteile des BVGer D-4476/2019 vom 7. Oktober 2021 E. 5.2, D-134/2019 vom 2. Dezember 2020 E. 6.4, E-4643/2020 vom 23. Oktober 2020 E. 6.1 und E-899/2020 vom 11. März 2020 E. 7.3). Die in der Beschwerde zitierten Medienberichte vermögen diese Einschätzung nicht umzustossen. Im Übrigen zeigt auch die Anzeige von E._______ gegen den Beschwerdeführer auf, dass Straf- anzeigen im Iran grundsätzlich entgegengenommen werden.</w:t>
      </w:r>
    </w:p>
    <w:p>
      <w:r>
        <w:rPr>
          <w:b/>
        </w:rPr>
        <w:t>E. 8.5</w:t>
      </w:r>
    </w:p>
    <w:p>
      <w:r>
        <w:t>Das SEM hat demnach im Ergebnis zu Recht die Flüchtlingseigen- schaft der Beschwerdeführenden verneint und ihre Asylgesuche abge- lehnt. Es erübrigt sich, auf die weiteren Ausführungen in den Beschwerde- eingaben einzugehen, da sie an der Würdigung des vorliegenden Sachver- halts nichts zu ändern vermögen.</w:t>
      </w:r>
    </w:p>
    <w:p>
      <w:r>
        <w:rPr>
          <w:b/>
        </w:rPr>
        <w:t>E. 9.1</w:t>
      </w:r>
    </w:p>
    <w:p>
      <w:r>
        <w:t>Lehnt das SEM das Asylgesuch ab oder tritt es darauf nicht ein, so verfügt es in der Regel die Wegweisung aus der Schweiz und ordnet den</w:t>
      </w:r>
    </w:p>
    <w:p>
      <w:r>
        <w:t>E-6031/2020 Seite 12 Vollzug an; es berücksichtigt dabei den Grundsatz der Einheit der Familie (Art. 44 AsylG).</w:t>
      </w:r>
    </w:p>
    <w:p>
      <w:r>
        <w:rPr>
          <w:b/>
        </w:rPr>
        <w:t>E. 9.2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10.1.1</w:t>
      </w:r>
    </w:p>
    <w:p>
      <w:r>
        <w:t>Ist der Vollzug der Wegweisung nicht zulässig, nicht zumutbar oder nicht möglich, so regelt das SEM das Anwesenheitsverhältnis nach den gesetzlichen Bestimmungen über die vorläufige Aufnahme (Art. 44 AsylG; Art. 83 Abs. 1 AIG).</w:t>
      </w:r>
    </w:p>
    <w:p>
      <w:r>
        <w:rPr>
          <w:b/>
        </w:rPr>
        <w:t>E. 10.1.2</w:t>
      </w:r>
    </w:p>
    <w:p>
      <w:r>
        <w:t>Beim Geltendmachen von Wegweisungsvollzugshindernissen gilt gemäss Praxis des Bundesverwaltungsgerichts der gleiche Beweisstan- 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Die Vorinstanz wies in ihrer angefochtenen Verfügung zutreffend da- rauf hin, dass das Prinzip des flüchtlingsrechtlichen Non-Refoulement nur</w:t>
      </w:r>
    </w:p>
    <w:p>
      <w:r>
        <w:t>E-6031/2020 Seite 13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 bung Folter oder unmenschliche Behandlung drohen würde (vgl. Urteil des EGMR Saadi gegen Italien vom 28. Februar 2008, Grosse Kammer 37201/06, §§ 124–127 m.w.H.). Auch die allgemeine Menschenrechtssitu- ation im Heimatstaat lässt den Wegweisungsvollzug zum heutigen Zeit- punkt nicht als unzulässig erscheinen.</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Die allgemeine Situation im Heimatstaat der Beschwerdeführenden ist nicht von Krieg, Bürgerkrieg oder allgemeiner Gewalt geprägt. Auch in individueller Hinsicht sind keine Gründe ersichtlich, welche den Vollzug der Wegweisung als unzumutbar erscheinen liessen. Ihren Angaben zufolge hätten sie zuletzt in D._______ gelebt, wo der Beschwerdeführer im Ge- schäft (…) als (…) gearbeitet habe. Die Beschwerdeführerin hat eine Aus- bildung als (…) absolviert und nach der Heirat mit dem Beschwerdeführer als Hausfrau gearbeitet. Es sei den Beschwerdeführenden finanziell sehr gut gegangen (vgl. Akten der Vorinstanz 28/22 F38). Beide Beschwerde- führenden verfügen nach dem Gesagten über Berufserfahrung und es</w:t>
      </w:r>
    </w:p>
    <w:p>
      <w:r>
        <w:t>E-6031/2020 Seite 14 kann davon ausgegangen werden, dass sie nach wie vor auch über finan- zielle Mittel verfügen.</w:t>
      </w:r>
    </w:p>
    <w:p>
      <w:r>
        <w:rPr>
          <w:b/>
        </w:rPr>
        <w:t>E. 10.3.3.1</w:t>
      </w:r>
    </w:p>
    <w:p>
      <w:r>
        <w:t>Ferner sind auch die von den Beschwerdeführenden vorgebrach- ten gesundheitlichen Probleme nicht geeignet, den Wegweisungsvollzug als unzumutbar erscheinen zu lassen.</w:t>
      </w:r>
    </w:p>
    <w:p>
      <w:r>
        <w:rPr>
          <w:b/>
        </w:rPr>
        <w:t>E. 10.3.3.2</w:t>
      </w:r>
    </w:p>
    <w:p>
      <w:r>
        <w:t>Gemäss ständiger Rechtsprechung des Bundesverwaltungsge- richts kann sich der Vollzug der Wegweisung wegen einer medizinischen Notlage als unzumutbar erweisen, wenn für die betroffene Person bei einer Rückkehr in die Heimat eine wesentliche medizinische Behandlung nicht erhältlich wäre. Allein der Umstand, dass die Spitalinfrastruktur oder das medizinische Fachwissen im Heimatstaat nicht dasselbe Niveau aufweisen wie in der Schweiz, reicht dabei nicht aus. Von der Unzumutbarkeit des Wegweisungsvollzugs ist erst dann auszugehen, wenn die ungenügende Möglichkeit der Weiterbehandlung eine drastische und lebensbedrohende Verschlechterung des Gesundheitszustandes nach sich ziehen würde (vgl. BVGE 2009/2 E. 9.3.2 und 2011/50 E. 8.3).</w:t>
      </w:r>
    </w:p>
    <w:p>
      <w:r>
        <w:rPr>
          <w:b/>
        </w:rPr>
        <w:t>E. 10.3.3.3</w:t>
      </w:r>
    </w:p>
    <w:p>
      <w:r>
        <w:t>Diesbezüglich brachte die Beschwerdeführerin im vorinstanzli- chen Verfahren vor, sie sei wegen (…) und (…) Leiden und (…)-problemen in medizinischer Behandlung. Im auf Beschwerdeebene eingereichten Arztbericht des Spitals I._______ vom 21. Dezember 2020 wurde eine (…) diagnostiziert. Der medizinische Bericht des SEM vom 12. April 2022 hält als Diagnose folgendes fest: (…). Weitere Arztberichte liegen nicht vor; ins- besondere wurden auch seit dem 25. April 2022 – im Rahmen der Mitwir- kungspflicht der Beschwerdeführerin – keine neuen medizinischen Belege eingereicht oder eine massgebliche Veränderung ihrer gesundheitlichen Probleme geltend gemacht. Den Beschwerdeführer betreffend wurde auf Beschwerdeebene ein Arzt- bericht vom 15. Dezember 2020, ausgestellt von J._______, eingereicht. Dazu wurde das Formular des SEM «Rapport médical» durch den Arzt handschriftlich und kaum lesbar ausgefüllt. Unter Ziffer zwei, welche mit «Diagnostic (pour la psychiatrie, selon ICD 10)» überschrieben ist, sind zwei Einträge ersichtlich, wovon einer als «(…)» entziffert werden kann. Der zweite Eintrag ist aufgrund der Handschrift kaum lesbar, deutet aber auf (…) ([…]) hin. Die genaue Diagnose kann jedoch offengelassen wer- den, da unter Ziffer 3.2 «Traitment nécessaire et adéquat à entreprendre» angegeben wurde, «probablement jusqu’au: 2021», mithin die geschätzte</w:t>
      </w:r>
    </w:p>
    <w:p>
      <w:r>
        <w:t>E-6031/2020 Seite 15 Behandlungsdauer längst beendet sein sollte. Der Beschwerdeführer hat im Rahmen der Mitwirkungspflicht seit über zwei Jahren keine neuen Arzt- berichte eingereicht oder eine massgebliche Veränderung seiner gesund- heitlichen Probleme geltend gemacht, weshalb zumindest nicht von einer Verschlechterung des gesundheitlichen Zustands des Beschwerdeführers auszugehen ist.</w:t>
      </w:r>
    </w:p>
    <w:p>
      <w:r>
        <w:rPr>
          <w:b/>
        </w:rPr>
        <w:t>E. 10.3.3.4</w:t>
      </w:r>
    </w:p>
    <w:p>
      <w:r>
        <w:t>Das Gericht gelangt unter Berücksichtigung der eingereichten ärztlichen Berichte und unter Hinweis auf die Feststellungen in der ange- fochtenen Verfügung zum Schluss, dass die Beschwerdeführenden, na- mentlich die Beschwerdeführerin, bei einer Rückkehr in den Iran eine, wenn auch nicht gleichwertige Behandlung wie in der Schweiz, werden be- anspruchen können. Das Gesundheitssystem im Iran weist ein relativ ho- hes Niveau auf (vgl. WHO, Health profile 2015, Islamic Republic of Iran, S. 21 ff.). Es kann deshalb davon ausgegangen werden, dass die Be- schwerdeführenden im Iran zumindest eine elementare medizinische Be- handlung erhalten können. Ferner arbeiten im Iran 1'800 Psychiater und es gibt über 200 psychiatrische Kliniken respektive psychiatrische Spital- abteilungen (Behzad Damari et al., Transition of Mental Health to a More Responsible Service in Iran, in: Iranian Journal of Psychiatry 2017 Vol. 12/1, S. 36 ff.), so dass die Beschwerdeführerin bei weiterhin beste- henden (…) oder (…) Leiden oder im Falle einer Verschlechterung dersel- ben auch eine medizinische Behandlung, insbesondere eine psychothera- peutische Therapie, erhalten kann. Allfälligen spezifischen Bedürfnissen der Beschwerdeführenden – beispielsweise in Bezug auf verordnete Medi- kamente oder weitere benötigte Medikamente – könnte im Rahmen der medizinischen Rückkehrhilfe Rechnung getragen werden (vgl. Art. 93 Abs. 1 Bst. d AsylG, Art. 75 der Asylverordnung 2 vom 11. August 1999 [AsylV 2, SR 142.312]). Die Beschwerdeführenden haben zudem die Mög- lichkeit, sich in nächster Zeit allenfalls mit Unterstützung der sie betreuen- den Fachärzte auf eine Rückkehr in den Heimatstaat vorzubereiten. Einer nicht auszuschliessenden vorübergehenden Verschlechterung ihres Ge- sundheitszustandes kann im Rahmen der Ausgestaltung der Vollzugsmo- dalitäten Rechnung getragen werden, indem eine sorgfältige Vorbereitung erfolgt und geeignete medizinische Massnahmen getroffen werden sowie eine adäquate Betreuung (beispielsweise durch medizinisches Fachperso- nal) sichergestellt wird. Insgesamt ist nicht anzunehmen, dass eine Rück- kehr in den Iran zu einer raschen und lebensgefährdenden Beeinträchti- gung ihres Gesundheitszustandes führen würde (vgl. dazu Urteil des BVGer D-2452/2020 vom 11. Mai 2022 E. 8.3.4).</w:t>
      </w:r>
    </w:p>
    <w:p>
      <w:r>
        <w:t>E-6031/2020 Seite 16</w:t>
      </w:r>
    </w:p>
    <w:p>
      <w:r>
        <w:rPr>
          <w:b/>
        </w:rPr>
        <w:t>E. 10.3.4</w:t>
      </w:r>
    </w:p>
    <w:p>
      <w:r>
        <w:t>Ferner führt das Kindeswohl betreffend die Tochter zu keiner ande- ren Annahme. Nach geltender Rechtsprechung sind bei der Auslegung von Art. 83 Abs. 4 AlG im Lichte von Art. 3 Abs. 1 des Übereinkommens vom 20. November 1989 über die Rechte des Kindes (KRK, SR 0.107) unter dem Aspekt des Wohls des Kindes namentlich folgende Kriterien im Rah- men einer gesamtheitlichen Beurteilung von Bedeutung: Alter, Reife, Ab- hängigkeiten, Art (Nähe, Intensität, Tragfähigkeit) seiner Beziehungen, Ei- genschaften seiner Bezugspersonen, Stand und Prognose bezüglich Ent- wicklung/Ausbildung sowie der Grad der erfolgten Integration bei einem längeren Aufenthalt in der Schweiz (vgl. BVGE 2015/30 E. 7.2 m.w.H.). An- gesichts des Alters des Kindes (bald […] Jahre) und der Tatsache, dass dieses gemeinsam mit seinen Eltern erst knapp viereinhalb Jahre in der Schweiz ist, ist davon auszugehen, dass dessen Hauptbezugspersonen nach wie vor die Mutter und der Vater sind. Eine eigenständige Integration in das hiesige Umfeld dürfte noch nicht in einem Umfang stattgefunden haben, dass eine Übersiedlung in den Iran zu einer Entwurzelung der Toch- ter führen oder ihre Entwicklung gefährden würde. Auch wenn ein Umzug mit Herausforderungen verbunden ist, können die Eltern mit ihrer Tochter in ihren angestammten Kulturraum zurückkehren, wo sie keine unüber- windbaren sprachlichen oder gesellschaftlichen Barrieren vorfinden wer- den. Von einer derart fortgeschrittenen individuellen Verwurzelung in der Schweiz, dass eine Rückkehr der Familie in die Heimat mit dem Kindes- wohl nicht vereinbar wäre, kann nach dem rund viereinhalbjährigen Aufent- halt hier noch nicht ausgegangen werden (vgl. Urteile des BVGer E- 6087/2020 vom 6. Juli 2022 E. 7.5.4;E-7215/2018 vom 12. Dezember 2019 E. 7.3). Vor diesem Hintergrund spricht auch das Kindeswohl nicht gegen die Zumutbarkeit des Wegweisungsvollzugs.</w:t>
      </w:r>
    </w:p>
    <w:p>
      <w:r>
        <w:rPr>
          <w:b/>
        </w:rPr>
        <w:t>E. 10.3.5</w:t>
      </w:r>
    </w:p>
    <w:p>
      <w:r>
        <w:t>Eine allfällige Suizidalität (vgl. Bst. H supra) steht einem Wegwei- sungsvollzug praxisgemäss auch nicht entgegen. Diesem Umstand wäre jedoch bei der Ausgestaltung der Vollzugsmodalitäten durch die damit be- auftragten kantonalen Behörden gebührend zu berücksichtigen, indem ge- eignete medizinische Massnahmen getroffen werden und eine adäquate Betreuung (beispielsweise durch medizinisches Fachpersonal) sicherge- stellt wird.</w:t>
      </w:r>
    </w:p>
    <w:p>
      <w:r>
        <w:rPr>
          <w:b/>
        </w:rPr>
        <w:t>E. 10.3.6</w:t>
      </w:r>
    </w:p>
    <w:p>
      <w:r>
        <w:t>Nach dem Gesagten erweist sich der Vollzug der Wegweisung auch als zumutbar.</w:t>
      </w:r>
    </w:p>
    <w:p>
      <w:r>
        <w:t>E-6031/2020 Seite 17</w:t>
      </w:r>
    </w:p>
    <w:p>
      <w:r>
        <w:rPr>
          <w:b/>
        </w:rPr>
        <w:t>E. 10.4</w:t>
      </w:r>
    </w:p>
    <w:p>
      <w:r>
        <w:t>Schliesslich obliegt es den Beschwerdeführenden, sich bei der zu- ständigen Vertretung des Heimatstaates die für eine Rückkehr notwendi- gen Reisedokumente – insbesondere für die Tochter – zu beschaffen (vgl. Art. 8 Abs. 4 AsylG und dazu auch BVGE 2008/34 E. 12), weshalb der Voll- 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Der Vollständigkeit halber ist zu erwähnen, dass die mit Eingabe vom 25. April 2022 eingereichten Dokumente, welche den Nachweis einer In- tegration respektive von Integrationsbemühungen der Beschwerdeführerin und des Beschwerdeführers belegen sollen, mangels Rechtserheblichkeit im vorliegenden Verfahren nicht gewürdigt werden.</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(Dispositiv nächste Seite)</w:t>
      </w:r>
    </w:p>
    <w:p>
      <w:r>
        <w:t>E-6031/2020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