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E-6026/2016 vom 21. März 2017</w:t>
      </w:r>
    </w:p>
    <w:p>
      <w:r>
        <w:t>Bundesverwaltungsgericht, 2017-03-21, DE</w:t>
      </w:r>
    </w:p>
    <w:p>
      <w:r>
        <w:rPr>
          <w:b/>
        </w:rPr>
        <w:t xml:space="preserve">Quelle: </w:t>
      </w:r>
      <w:r>
        <w:t>https://mcp.opencaselaw.ch/entscheid/bvger_E-6026_2016</w:t>
      </w:r>
    </w:p>
    <w:p>
      <w:r>
        <w:t>FR: TAF E-6026/2016 du 21 mars 2017</w:t>
      </w:r>
    </w:p>
    <w:p>
      <w:r>
        <w:t>IT: TAF E-6026/2016 del 21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AsylG).Dass dem Beschwerdeführer mit Zwischenverfügung vom 10. Oktober 2016 die unentgeltliche Rechtspflege (Art. 65 Abs. 1 VwVG) gewährt worden ist, die Beschwerde also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3.5</w:t>
      </w:r>
    </w:p>
    <w:p>
      <w:r>
        <w:t>Die Vorinstanz begründet ihre Verfügung im Asylpunkt im Wesentlichen damit, dass weder die Furcht vor einer Inhaftierung im Kontext der Aufstände in B._______ im März 2015 noch die illegale Ausreise des Beschwerdeführers asylrelevant seien.Die eritreischen Soldaten seien gemäss den Aussagen des Beschwerdeführers nicht aus einem der in Art. 3 AsylG genannten Gründen gegen die Bevölkerung von B._______ vorgegangen, sondern um den gewalttätigen Aufstand der Einwohner abzuwehren und zu beenden. Dass die Soldaten Teilnehmer des Aufstands verhaftet hätten, sei im Rahmen einer strafrechtlichen Untersuchung grundsätzlich nicht zu beanstanden. Auch wenn es zu Gewaltexzessen gekommen sei, die über das erlaubte Mass eines staatlichen Eingriffs hinausgegangen seien und insofern als machtmissbräuchlich erschienen, handle es sich nicht um eine asylbeachtliche Verfolgung. Insofern sei auch die vom Beschwerdeführer geäusserte Furcht vor einer möglichen Verhaftung asylrechtlich nicht von Bedeutung.Zur Asylrelevanz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sondern sei noch als Minderjähriger aus seinem Heimatland ausgereist. Er habe folglich nicht gegen die Proclamation on National Service von 1995 verstossen. Auch sonst lägen keine Hinweise dafür vor, dass er bei einer Rückkehr nach Eritrea ernsthafte Nachteile zu gewärtigen hätte.Auf Vernehmlassungsstufe ergänzte die Vorinstanz diese Ausführungen dahingehend, dass glaubhafte Schilderungen verschiedener minderjähriger eritreischer Asylsuchender ergeben hätten, dass ihre misslungenen Ausreiseversuche nicht bestraft worden seien.</w:t>
      </w:r>
    </w:p>
    <w:p>
      <w:r>
        <w:rPr>
          <w:b/>
        </w:rPr>
        <w:t>E. 3.6</w:t>
      </w:r>
    </w:p>
    <w:p>
      <w:r>
        <w:t>In der Beschwerde werden die vorinstanzlichen Erwägungen zur fehlenden Asylrelevanz der Furcht des Beschwerdeführers vor einer Inhaftierung im Kontext der Aufstände in B._______ im März 2015 nicht beanstandet. Hingegen wird die Frage aufgeworfen, ob die Vorinstanz zu Recht davon ausgehe, eine illegale Ausreise aus Eritrea sei nicht (mehr) asylrelevant. Auch das Gericht hat nach Durchsicht der Akten keinen Anlass dazu, die überzeugenden Ausführungen der Vorinstanz zur fehlenden Asylrelevanz der Furcht des Beschwerdeführers vor einer Inhaftierung im Kontext der Aufstände in B._______ im März 2015 in Frage zu stellen.Die Frage der flüchtlingsrechtlichen Beurteilung der illegalen Ausreise aus Eritrea ist vom Bundesverwaltungsgericht in einem Koordinationsverfahren mittlerweile geklärt worden. Nicht nur, aber auch für Minderjährige kommt das Gericht klar zum Schluss, dass allein aufgrund einer illegalen Ausreise keine begründete Furcht vor asylrechtlich beachtlicher Verfolgung angenommen werden kann (ausführlich dazu Urteil des BVGer D-7898/2015 vom 30. Januar 2017, E. 4.6-5.1 [vgl. oben, E. 3.3]). Nachdem der Beschwerdeführer neben der illegalen Ausreise keine zusätzlichen Anknüpfungspunkte für eine Verschärfung seines Profils aufweist, ist vorliegend nicht von einer asylrechtlich beachtlichen Verfolgung auszugehen.</w:t>
      </w:r>
    </w:p>
    <w:p>
      <w:r>
        <w:rPr>
          <w:b/>
        </w:rPr>
        <w:t>E. 3.7</w:t>
      </w:r>
    </w:p>
    <w:p>
      <w:r>
        <w:t>Wie die Vorinstanz kommt das Gericht deshalb zum Schluss, dass der Beschwerdeführer keine begründete Furcht vor ernsthaften Nachteilen im Sinne von Art. 3 AsylG geltend machen kann. Zur Vermeidung von Wiederholungen ist auf die zutreffenden vorinstanzlichen Ausführungen sowie das oben erwähnte Koordinationsurteil des Bundesverwaltungsgerichts zu verweisen (vgl. oben, E. 3.3 und E. 3.6). Die Vorinstanz hat daher zu Recht die Flüchtlingseigenschaft des Beschwerdeführers verneint und sein Asylgesuch abgewiesen.</w:t>
      </w:r>
    </w:p>
    <w:p>
      <w:r>
        <w:rPr>
          <w:b/>
        </w:rPr>
        <w:t>E. 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w:t>
      </w:r>
    </w:p>
    <w:p>
      <w:r>
        <w:t>Aus diesen Erwägungen ergibt sich, dass die angefochtene Verfügung Bundesrecht nicht verletzt und den rechtserheblichen Sachverhalt richtig sowie vollständig feststellt (Art. 106 Abs. 1 AsylG).Die von der Vorinstanz wegen Unzumutbarkeit des Vollzugs verfügte vorläufige Aufnahme bleibt dadurch unberührt.</w:t>
      </w:r>
    </w:p>
    <w:p>
      <w:r>
        <w:rPr>
          <w:b/>
        </w:rPr>
        <w:t>E. 6.1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15. August 2016 die unentgeltliche Prozessführung gewährt wurde, sind jedoch keine Verfahrenskosten zu erheben.</w:t>
      </w:r>
    </w:p>
    <w:p>
      <w:r>
        <w:rPr>
          <w:b/>
        </w:rPr>
        <w:t>E. 6.2</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w:t>
      </w:r>
    </w:p>
    <w:p>
      <w:r>
        <w:rPr>
          <w:b/>
        </w:rPr>
        <w:t>E. 6.2.1</w:t>
      </w:r>
    </w:p>
    <w:p>
      <w:r>
        <w:t>Die vormalige amtliche Rechtsbeiständin des Beschwerdeführers übte ihr Mandat im Rahmen ihrer Tätigkeit (...) ausschliesslich aufgrund staatlicher Beauftragung aus. Die Rechtsvertretung ist für den Beschwerdeführer unentgeltlich. Demzufolge sind ihm keine notwendigen Kosten erwachsen und es ist keine amtliche Entschädigung zu entrichten.</w:t>
      </w:r>
    </w:p>
    <w:p>
      <w:r>
        <w:rPr>
          <w:b/>
        </w:rPr>
        <w:t>E. 6.2.2</w:t>
      </w:r>
    </w:p>
    <w:p>
      <w:r>
        <w:t>Die jetzige amtliche Rechtsbeiständin hat keine Kostennote zu den Akten gereicht. Auf die Nachforderung einer solchen kann indessen verzichtet werden, zumal sich der Aufwand aus den Akten zuverlässig abschätzen lässt. Ihr Aufwand hat sich auf einen Korrespondenzwechsel wegen der Ersetzung der vormaligen Rechtsbeiständin sowie auf die Replik vom 8. November 2016 beschränkt. Ausgehend von einem Aufwand von einer Stunde und einem Stundenansatz von Fr. 150.- ist die amtliche Entschädigung auf Fr. 175.- festzusetzen (einschliesslich Auslagen und Mehrwertsteuer).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