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E-6024/2016 vom 19. Februar 2018</w:t>
      </w:r>
    </w:p>
    <w:p>
      <w:r>
        <w:t>Bundesverwaltungsgericht, 2018-02-19, DE</w:t>
      </w:r>
    </w:p>
    <w:p>
      <w:r>
        <w:rPr>
          <w:b/>
        </w:rPr>
        <w:t xml:space="preserve">Quelle: </w:t>
      </w:r>
      <w:r>
        <w:t>https://mcp.opencaselaw.ch/entscheid/bvger_E-6024_2016</w:t>
      </w:r>
    </w:p>
    <w:p>
      <w:r>
        <w:t>FR: TAF E-6024/2016 du 19 février 2018</w:t>
      </w:r>
    </w:p>
    <w:p>
      <w:r>
        <w:t>IT: TAF E-6024/2016 del 19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die ablehnende Verfügung damit, dass die Vorbringen des Beschwerdeführers wenig konkret und detailliert ausgefallen seien und damit nicht einen selbst erlebten Eindruck hinterlassen hätten. Insbesondere habe er keine persönliche Bedrohungssituation glaubhaft machen können, da er bei den schwerwiegendsten Angriffen persönlich nicht anwesend gewesen sei und die diesbezüglichen Antworten allgemein geblieben seien. Bei Fragen betreffend konkrete Daten, sei er ebenfalls vage geblieben und erwecke den Eindruck, willkürliche Zeitspannen zu nennen. Schliesslich sei auch die persönliche Erzählung des Gerichtsbesuchs allgemein und unpersönlich geblieben. Infolgedessen und weil der Beschwerdeführer teilweise auch widersprüchliche Angaben gemacht habe, würden die vorgebrachten Ereignisse unglaubhaft erscheinen. Der Vollzug der Wegweisung erweise sich zudem als zulässig und zumutbar, weil die vier kurdischen Provinzen im Irak nicht bedroht seien von einem Angriff des sogenannten Islamischen Staates (IS). Insofern sei die einheimische kurdische Bevölkerung nicht generell einer konkreten Gefährdung im Sinn von Art. 83 Abs. 4 AuG ausgesetzt. Individuelle Unzumutbarkeitsgründe würden ebenfalls keine vorliegen. Der Beschwerdeführer sei jung, gesund und verfüge über mehrjährige Berufserfahrung im Bausektor sowie über ein familiäres Netz in seinem Heimatstaat.</w:t>
      </w:r>
    </w:p>
    <w:p>
      <w:r>
        <w:rPr>
          <w:b/>
        </w:rPr>
        <w:t>E. 4.2</w:t>
      </w:r>
    </w:p>
    <w:p>
      <w:r>
        <w:t>Der Beschwerdeführer führte in seiner Beschwerde aus, er sei Opfer einer traditionellen Familienfehde, in welcher es darum gehe, die beschmutzte Ehre wiederherzustellen. Die Rolle des Staates sei in einem solchen Konflikt sehr gering, insbesondere sei ihm ein Verhindern der Blut-rache respektive deren Fortsetzung nicht möglich und er vermöge die betroffenen Personen deshalb auch nicht zu schützen. Insofern spiele die behördliche Willens- und Schutzfähigkeit kaum eine Rolle. Entgegen der Ausführungen des SEM in der angefochtenen Verfügung handle es sich zudem um eine konkrete und persönliche Gefährdungssituation. So sei er von der Sippe der heutigen Frau seines Bruders schikaniert und bedroht worden, nachdem sie bemerkt hätten, dass er und seine Geschwister mit dem Bruder in der Schweiz in Kontakt gestanden seien. Aufgrund dessen sei ihm und seinen Geschwistern auch der Schutz und die weitere Unterstützung durch seinen Onkel versagt worden. Die ganze Familie sei daraufhin gezwungen gewesen, ihr Haus zu verlassen. Es sei sodann auch nicht ersichtlich, weshalb das SEM den geschilderten Entführungsversuch seiner Schwester als unglaubhaft erachtet habe. Er habe in der BzP verschiedene Aussagen mehrfach wiederholen müssen, damit der aus Syrien stammende Dolmetscher ihn verstanden habe. Dies habe er bereits an der Anhörung angedeutet.</w:t>
      </w:r>
    </w:p>
    <w:p>
      <w:r>
        <w:rPr>
          <w:b/>
        </w:rPr>
        <w:t>E. 4.3</w:t>
      </w:r>
    </w:p>
    <w:p>
      <w:r>
        <w:t>In der Vernehmlassung hielt das SEM an seiner Verfügung fest. Es stellte sich auf den Standpunkt, dass die eingereichte Bestätigung des Dorfvorstehers die Erwägungen in der angefochtenen Verfügung nicht umzustossen vermöge, zumal es sich um ein reines Gefälligkeitsschreiben handle. Solche seien ausserdem leicht fälschbar oder käuflich zu erwerben, womit ihnen keinerlei Beweiswert zukomme.</w:t>
      </w:r>
    </w:p>
    <w:p>
      <w:r>
        <w:rPr>
          <w:b/>
        </w:rPr>
        <w:t>E. 5.1</w:t>
      </w:r>
    </w:p>
    <w:p>
      <w:r>
        <w:t>Das Bundesverwaltungsgericht geht einig mit der Vorinstanz, soweit sie in der angefochtenen Verfügung die Flüchtlingseigenschaft des Beschwerdeführers nicht anerkannte und sein Asylgesuch ablehnte.</w:t>
      </w:r>
    </w:p>
    <w:p>
      <w:r>
        <w:rPr>
          <w:b/>
        </w:rPr>
        <w:t>E. 5.2</w:t>
      </w:r>
    </w:p>
    <w:p>
      <w:r>
        <w:t>Die geltend gemachten Verständigungsprobleme mit dem in der BzP mitwirkenden "Dolmetscher" finden in den Akten keine Stütze: Dem Protokoll vom 28. Oktober 2015 sind nicht nur keine Hinweise auf sprachliche Besonderheiten zu entnehmen. Der Beschwerdeführer gab vielmehr zweimal ausdrücklich an, die in seiner Muttersprache Sorani übersetzende Person "gut" zu verstehen (vgl. Protokoll S. 2 und 8). Gemäss den Formulierungen auf der letzten Protokollseite und auf den ans Protokoll angehängten Einwilligungserklärungen handelte es sich bei dieser überdies nicht um einen Mann, sondern um eine "Dolmetscherin". Die Aussagen des Beschwerdeführers wurden von dieser am Schluss dieser Befragung in seine Muttersprache rückübersetzt und von ihm unterschriftlich als korrekt genehmigt. Auf diese protokollierten Angaben durfte das SEM damit uneingeschränkt abstellen.</w:t>
      </w:r>
    </w:p>
    <w:p>
      <w:r>
        <w:rPr>
          <w:b/>
        </w:rPr>
        <w:t>E. 5.3</w:t>
      </w:r>
    </w:p>
    <w:p>
      <w:r>
        <w:t>Den beigezogenen Akten des Bruders D._______ des Beschwerdeführes (N [...]) ist zwar zu entnehmen, dass dieser mehrmals bei der Familie seiner heutigen Partnerin um ihre Hand angehalten habe, was verweigert worden sei, weil er bereits geschieden gewesen sei und Kinder aus dieser ersten Ehe habe. Daraufhin seien die beiden zusammen im Jahr 2005 "weggelaufen"; weil sie von der Familie der Frau mehrmals ausfindig gemacht und behelligt worden seien, hätten sie das Land im Jahr 2007 verlassen. Soweit der Beschwerdeführer geltend macht, er habe wegen dieser Umstände acht Jahre später das Land verlassen müssen, hinterlässt seine Sachverhaltsdarstellung jedoch nach Auffassung des Gerichts einen unplausiblen und konstruierten Eindruck.</w:t>
      </w:r>
    </w:p>
    <w:p>
      <w:r>
        <w:rPr>
          <w:b/>
        </w:rPr>
        <w:t>E. 5.3.1</w:t>
      </w:r>
    </w:p>
    <w:p>
      <w:r>
        <w:t>So erscheint insbesondere in zeitlicher Hinsicht fragwürdig, dass die Familie der Schwägerin des Beschwerdeführers knapp zehn Jahre nachdem sein Bruder und die Schwägerin geflohen sind, sich plötzlich für den Verbleib der Kinder des Bruders aus erster Ehe interessiert hätte. Die diesbezügliche Erklärung des Beschwerdeführers, diese Familie habe die Kinder als Druckmittel gegenüber seinem Bruder benutzten wollen, damit er sich der Familie stelle (vgl. SEM-Akten N [...], A25, F156 f.), vermag nicht zu überzeugen. Sie lässt sich insbesondere nicht in Einklang mit seinen übrigen Aussagen bringen (vgl. A25, F56: "[...] Nach diesem Vorfall [Anmerkung BVGer: also nachdem der Bruder C._______ wegen seiner Reise in den Iran mit den Kindern zusammengeschlagen worden sei] haben sich meine Onkel eingeschaltet und haben mit der Familie dieser Frau Kontakt aufgenommen. Die Familie von dieser Frau hat uns mitgeteilt, dass wenn wir versuchen diese beiden Kinder von dort wegzubringen, werden sie uns, ich meine mich, meinen Bruder C._______ und E._______ töten oder sie würden auch eine Schwester von uns entführen. Meine Onkel konnten das Problem lösen und zwar so, dass sie sich geeinigt haben, dass wir auf keinen Fall mehr Kontakt mit D._______ haben sollen."; F74: "Nein, es gab keine Entführungsgefahr. Sie haben auch nicht versucht uns zu schlagen oder ein Mitglied aus der Familie zu entführen. Aber wir waren natürlich immer unter der Beobachtung von dieser Familie. Erst danach, als wir beim Gericht waren, war die Hölle los.").</w:t>
      </w:r>
    </w:p>
    <w:p>
      <w:r>
        <w:rPr>
          <w:b/>
        </w:rPr>
        <w:t>E. 5.3.2</w:t>
      </w:r>
    </w:p>
    <w:p>
      <w:r>
        <w:t>Weiter kann in Bezug auf die Frage der persönlichen Betroffenheit der vorgebrachten Verfolgung auf die überzeugenden vorinstanzlichen Erwägungen verwiesen werden. Tatsächlich geht aus den Aussagen des Beschwerdeführers nicht hervor, dass er je konkret individuelle Nachteile erlitten hätte oder Zielperson der genannten Behelligungen gewesen wäre (vgl. angefochtene Verfügung S. 3; SEM-Akten N [...], A25, F111, F115 ff., F128). Nebenbei bemerkt, ergeben sich auch aus den beigezogenen Akten der Verwandten keine konkreten Hinweise auf seine persönliche Gefährdung.</w:t>
      </w:r>
    </w:p>
    <w:p>
      <w:r>
        <w:rPr>
          <w:b/>
        </w:rPr>
        <w:t>E. 5.3.3</w:t>
      </w:r>
    </w:p>
    <w:p>
      <w:r>
        <w:t>Angesichts dessen erscheint auch nicht nachvollziehbar, dass er als erster das Land verlassen hat und nicht etwa sein Bruder C._______, der zuvor bereits von der Familie der Schwägerin brutal zusammengeschlagen worden sei (vgl. F123). Unter Berücksichtigung der angeblich erheblichen Gefährdungssituation seiner gesamten Familie erscheint auch die Aussage des Beschwerdeführers widersprüchlich, das Leben seines Bruders C._______ sei zwar schon noch in Gefahr, er fühle sich aber sicher in dem kleinen Dorf in der Nähe von F._______ (Region Erbil), in welchem er wohne, weil er mit seiner Cousine verheiratet sei, deren Verwandten ihn verteidigen würden (vgl. F14 und F138 f.).</w:t>
      </w:r>
    </w:p>
    <w:p>
      <w:r>
        <w:rPr>
          <w:b/>
        </w:rPr>
        <w:t>E. 5.4.1</w:t>
      </w:r>
    </w:p>
    <w:p>
      <w:r>
        <w:t>Nach dem Gesagten kann nicht geglaubt werden, dass der Beschwerdeführer in seinem Heimatstaat ernsthaften Nachteilen im Sinn von Art. 3 AsylG ausgesetzt war oder ihm solche in Zukunft drohen würden.</w:t>
      </w:r>
    </w:p>
    <w:p>
      <w:r>
        <w:rPr>
          <w:b/>
        </w:rPr>
        <w:t>E. 5.4.2</w:t>
      </w:r>
    </w:p>
    <w:p>
      <w:r>
        <w:t>An dieser Einschätzung vermag auch die auf Beschwerdeebene eingereichte Bestätigung des Dorfvorstehers nichts zu ändern. Darin wird ausgeführt, der Beschwerdeführer sei mehrmals "angegriffen" worden, was er selber gerade nicht geltend macht. Somit ist dieses Dokument - mit der Vorinstanz - bestenfalls als Gefälligkeitsschreiben zu werten, dem keine Beweiskraft zukommt.</w:t>
      </w:r>
    </w:p>
    <w:p>
      <w:r>
        <w:rPr>
          <w:b/>
        </w:rPr>
        <w:t>E. 5.5</w:t>
      </w:r>
    </w:p>
    <w:p>
      <w:r>
        <w:t>Im Übrigen würden sich die vom Beschwerdeführer geltend gemachten Asylgründe, auch wenn sie authentisch wären, offensichtlich als flüchtlingsrechtlich nicht relevant erweisen: Abgesehen davon, dass er selber bisher keinen Verfolgungsmassnahmen ausgesetzt war und die Wahrscheinlichkeit zukünftiger Behelligungen durch Mitglieder einer anderen Familie schon deshalb gering erschiene, würde solchen Nachteilen auch eine relevante Verfolgungsmotivation im Sinn von Art. 3 Abs. 1 AsylG fehlen. Überdies wäre es ihm vermutlich auch möglich, sich bei den heimatlichen Behörden um Schutz vor solchen Nachstellungen durch Drittpersonen zu bemühen, zumal er angegeben hat, mit diesen nie Probleme gehabt zu haben (vgl. SEM-Akten, A4, S. 7).</w:t>
      </w:r>
    </w:p>
    <w:p>
      <w:r>
        <w:rPr>
          <w:b/>
        </w:rPr>
        <w:t>E. 5.6</w:t>
      </w:r>
    </w:p>
    <w:p>
      <w:r>
        <w:t>Nach dem Gesagten ist festzustellen, dass der Beschwerdeführer die Voraussetzungen für die Zuerkennung der Flüchtlingseigenschaft nicht erfüllt. Die Vorinstanz hat daher sein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Im Urteil BVGE 2008/5 - in dem eine einlässliche Auseinandersetzung mit der Frage der Zumutbarkeit des Wegweisungsvollzugs in die drei damaligen kurdischen Provinzen des Nordiraks (Dohuk, Erbil, Suleimaniya) stattfand - hielt das Bundesverwaltungsgericht fest, dass sich sowohl die Sicherheits- als auch die Menschenrechtslage in dieser Region des "Kurdistan Regional Gouvernment" (KRG)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w:t>
      </w:r>
    </w:p>
    <w:p>
      <w:r>
        <w:rPr>
          <w:b/>
        </w:rPr>
        <w:t>E. 7.3.3</w:t>
      </w:r>
    </w:p>
    <w:p>
      <w:r>
        <w:t>Diese Praxis wurde in den folgenden Jahren durch das Bundesverwaltungsgericht bekräftigt. Im Referenzurteil E-3737/2015 vom 14. Dezember 2015 wurden die Lage im Nordirak und die Zumutbarkeitspraxis - unter dem Eindruck des sich im Nordirak ausbreitenden IS, der an die KRG-Region grenzende Gebiete unter seine Kontrolle gebracht hatte - neuerlich überprüft. Das Gericht kam dabei zum Schluss, dass in der KRG-Region nach wie vor nicht von einer Situation allgemeiner Gewalt im Sinn von Art. 83 Abs. 4 AuG auszugehen sei und keine konkreten Anhaltspunkte für die Annahme vorliegen würden, dies werde sich in absehbarer Zeit massgeblich verändern. Angesichts der aktuellen Lage im KRG-Gebiet, namentlich der Belastung der behördlichen Infrastrukturen durch im Irak intern Vertriebene ("Internally Displaced Persons" [IDP]), sei allerdings jeweils der Prüfung des Vorliegens begünstigender individueller Faktoren - insbesondere denjenigen eines tragfähigen familiären Beziehungsnetzes - ein besonderes Gewicht beizumessen (vgl. Urteil E-3737/2015 vom 14. Dezember 2015 E. 7.4.5, vgl. auch die Urteile E-6954/2017 vom 17. Januar 2018 E. 8.3 und D-7841/2016 vom 6. September 2017 E. 7.5).</w:t>
      </w:r>
    </w:p>
    <w:p>
      <w:r>
        <w:rPr>
          <w:b/>
        </w:rPr>
        <w:t>E. 7.3.4</w:t>
      </w:r>
    </w:p>
    <w:p>
      <w:r>
        <w:t>Das durch die KRG-Führung im September 2017 abgehaltene Unabhängigkeitsreferendum führte zu repressiven Massnahmen der zentral-irakischen Regierung sowie der Nachbarstaaten Türkei und Iran. Dadurch verschlechterten sich die ökonomischen Verhältnisse im KRG-Gebiet erheblich. Die Bedrohungssituation durch den IS hat sich hingegen vor einiger Zeit aufgelöst, womit auch die Belastung der Infrastrukturen des kurdischen Autonomiegebiets durch IDP mittelfristig abnehmen dürfte.</w:t>
      </w:r>
    </w:p>
    <w:p>
      <w:r>
        <w:rPr>
          <w:b/>
        </w:rPr>
        <w:t>E. 7.3.5</w:t>
      </w:r>
    </w:p>
    <w:p>
      <w:r>
        <w:t>Im Ergebnis erscheint die erwähnte Praxis gemäss Referenzurteil E-3737/2015 vom 14. Dezember 2015 - wonach bei der Prüfung der Zumutbarkeit des Wegweisungsvollzugs begünstigenden individuellen Faktoren besonderes Gewicht beizumessen ist - heute nach wie vor als aktuell. Das Bundesverwaltungsgericht stützt sich denn auch in neueren Urteilen weiterhin auf diese Praxis ab (vgl. Urteil des Bundesverwaltungsgerichts E-6430/2016 vom 31. Januar 2018, E. 6.4 m.w.H.).</w:t>
      </w:r>
    </w:p>
    <w:p>
      <w:r>
        <w:rPr>
          <w:b/>
        </w:rPr>
        <w:t>E. 7.3.6</w:t>
      </w:r>
    </w:p>
    <w:p>
      <w:r>
        <w:t>Der Beschwerdeführer stammt aus einem Dorf in der Nähe von Erbil, wo er die Primarschule abschloss und seither als Bauarbeiter tätig war. Er ist jung und seinen Angaben zufolge gesund und ohne familiäre Verpflichtungen. In seiner Heimatregion leben, nachdem einige seiner Geschwister ausgereist sind, nach wie vor drei Schwestern sowie ein Bruder mit ihren Familien. Zudem leben dort auch noch mehrere Tanten und Onkel, welche die Familie des Beschwerdeführers nach dem Tod der Eltern unterstützt hätten (vgl. SEM-Akten, A4, S. 4; A25, F11 ff., F29 ff., F33 ff.). Insgesamt kann der Beschwerdeführer somit auf ein familiäres Beziehungsnetz zurückgreifen, welches ihn bei einer Rückkehr in seinen Heimatstaat bei einer Wiedereingliederung unterstützen kann. Auch in wirtschaftlicher Hinsicht steht einer Rückkehr in die Heimatregion nichts entgegen, zumal der Beschwerdeführer über langjährige Berufserfahrung verfügt.</w:t>
      </w:r>
    </w:p>
    <w:p>
      <w:r>
        <w:rPr>
          <w:b/>
        </w:rPr>
        <w:t>E. 7.3.7</w:t>
      </w:r>
    </w:p>
    <w:p>
      <w:r>
        <w:t>Der Vollzug der Wegweisung erweist sich in vorliegendem Fall somit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Nachdem sein Gesuch um Gewährung der unentgeltlichen Prozessführung nach Art. 65 Abs. 1 VwVG mit Zwischenverfügung vom 21. Oktober 2016 gutgeheissen wurde (und den Akten keine Hinweise auf eine Verbesserung seiner finanziellen Situation zu entnehmen sind),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