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E-6021/2016 vom 12. Mai 2017</w:t>
      </w:r>
    </w:p>
    <w:p>
      <w:r>
        <w:t>Bundesverwaltungsgericht, 2017-05-12, DE</w:t>
      </w:r>
    </w:p>
    <w:p>
      <w:r>
        <w:rPr>
          <w:b/>
        </w:rPr>
        <w:t xml:space="preserve">Quelle: </w:t>
      </w:r>
      <w:r>
        <w:t>https://mcp.opencaselaw.ch/entscheid/bvger_E-6021_2016</w:t>
      </w:r>
    </w:p>
    <w:p>
      <w:r>
        <w:t>FR: TAF E-6021/2016 du 12 mai 2017</w:t>
      </w:r>
    </w:p>
    <w:p>
      <w:r>
        <w:t>IT: TAF E-6021/2016 del 12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 Aufgrund der Zuweisung des Beschwerdeführers in den Testbetrieb VZ Zürich kommt zudem die Testphasenverordnung vom 4. September 2013 zur Anwendung (Art. 1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 erweist sich als offensichtlich unbegründet und ist im Verfahren einzelrichterlicher Zuständigkeit mit Zustimmung eines zweiten Richters (Art. 111 Bst. e AsylG) ohne Weiterungen mit summarischer Begründung zu behandeln (Art. 111a Abs. 1 und 2 AsylG). Dass dem Beschwerdeführer mit Verfügung vom 4. Oktober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4</w:t>
      </w:r>
    </w:p>
    <w:p>
      <w:r>
        <w:t>Das SEM hat mit Verfügung vom 23. September 2016 den Beschwerdeführer wegen Unzumutbarkeit des Vollzugs der Wegweisung in der Schweiz vorläufig aufgenommen. Gegenstand des vorliegenden Verfahrens bildet aufgrund der Rechtsbegehren und deren Begründung die Frage der Anerkennung der Flüchtlingseigenschaft zufolge illegaler Ausreise.</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in der angefochtenen Verfügung aus, die Angaben des Beschwerdeführers zu den Fluchtgründen hielten den Anforderungen an Art. 3 AsylG nicht stand. Ausserdem seien die Vorbringen bezüglich der illegalen Ausreise aus Eritrea, ohne auf deren Glaubhaftigkeit einzugehen, asylrechtlich ebenfalls unbeachtlich.</w:t>
      </w:r>
    </w:p>
    <w:p>
      <w:r>
        <w:rPr>
          <w:b/>
        </w:rPr>
        <w:t>E. 6.1.1</w:t>
      </w:r>
    </w:p>
    <w:p>
      <w:r>
        <w:t>Dies begründet sie im Wesentlichen damit, dass sich der Beschwerdeführer den geschilderten Razzien mehrmals entziehen konnte und er gemäss eigenen Aussagen auch nie rekrutiert, einberufen oder von den Behörden mitgenommen oder verhaftet worden sei. Der Beschwerdeführer sei - gemäss eigenen Aussagen - auch mit den eritreischen Behörden bezüglich des Militärs nie in Kontakt gestanden. Somit sei der Beschwerdeführer selber nicht von einer Verfolgungssituation ernsthaft betroffen gewesen.</w:t>
      </w:r>
    </w:p>
    <w:p>
      <w:r>
        <w:rPr>
          <w:b/>
        </w:rPr>
        <w:t>E. 6.1.2</w:t>
      </w:r>
    </w:p>
    <w:p>
      <w:r>
        <w:t>Zur Asylrelevanz der illegalen Ausreise führt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Er habe nicht gegen die Proclamation on National Service von 1995 verstossen. Auch sonst lägen keine Hinweise dafür vor, dass er bei einer Rückkehr nach Eritrea ernsthaften Nachteilen ausgesetzt wäre. Damit liege keine asylrelevante Gefährdung vor.</w:t>
      </w:r>
    </w:p>
    <w:p>
      <w:r>
        <w:rPr>
          <w:b/>
        </w:rPr>
        <w:t>E. 6.2</w:t>
      </w:r>
    </w:p>
    <w:p>
      <w:r>
        <w:t>In seiner Rechtsmitteleingabe führt der Beschwerdeführer aus, dass die Praxisänderung der Vorinstanz, wonach die illegale Ausreise allein die Flüchtlingseigenschaft nicht zu begründen vermöge, unzulässig sei.</w:t>
      </w:r>
    </w:p>
    <w:p>
      <w:r>
        <w:rPr>
          <w:b/>
        </w:rPr>
        <w:t>E. 6.2.1</w:t>
      </w:r>
    </w:p>
    <w:p>
      <w:r>
        <w:t>Dies gestützt auf die Tatsache, dass die Informationsgrundlage in Bezug auf Eritrea sehr limitiert sei, was insbesondere auch die Umsetzung und Gesetzgebung zu Nationaldienst und illegaler Ausreise sowie die Bestrafung beziehungsweise Straffreiheit von minderjährigen Rückkehrern betreffe. Für Letzteres werde im Focus Eritrea, Update 2016, eine einzige nicht näher beschriebene diplomatische Quelle genannt, welche grundlegende Unsicherheiten und Wissenslücken aufweise, so dass nicht davon ausgegangen werden könne, dass die Aussage bezüglich Nichtbestrafung von Minderjährigen zuverlässig sei. Vielmehr habe die Rechtsvertretung des Beschwerdeführers Kenntnis von drei Fällen, die nach Ankündigung der Praxisanpassung der Vorinstanz entschieden worden seien, bei denen die jeweils illegale Ausreise der Minderjährigen harsche Sanktionen nach sich gezogen habe. Die Tatsache, dass die Vorinstanz der freiwilligen Rückkehr so grosses Gewicht beilege, sei insoweit nicht sachgerecht, als dass es sich bei den beschriebenen Rückkehrern um eine geringe Anzahl von Eritreern handle, die ihren Status gegenüber den eritreischen Behörden vorgängig und auf einer Auslandvertretung geregelt habe. Gemäss den Beobachtungen von internationalen Vertretern handle es sich bei diesen Personen um Vertreter der älteren Diaspora-Generation. Über minderjährige Rückkehrer lägen jedoch keine Informationen vor.</w:t>
      </w:r>
    </w:p>
    <w:p>
      <w:r>
        <w:rPr>
          <w:b/>
        </w:rPr>
        <w:t>E. 6.2.2</w:t>
      </w:r>
    </w:p>
    <w:p>
      <w:r>
        <w:t>Weiter macht der Beschwerdeführer geltend, die Vorinstanz habe die in BVGE 2010/54 aufgestellten Regeln für eine Praxisänderung klarerweise missachtet. Insbesondere habe sie es unterlassen, in der angefochtenen Verfügung unmissverständlich klarzustellen, dass es sich dabei um ein Pilotverfahren handle, mit welchem bewusst von der publizierten Praxis des Bundesverwaltungsgerichts abgewichen werde.</w:t>
      </w:r>
    </w:p>
    <w:p>
      <w:r>
        <w:rPr>
          <w:b/>
        </w:rPr>
        <w:t>E. 7.1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w:t>
      </w:r>
    </w:p>
    <w:p>
      <w:r>
        <w:rPr>
          <w:b/>
        </w:rPr>
        <w:t>E. 7.2</w:t>
      </w:r>
    </w:p>
    <w:p>
      <w:r>
        <w:t>Das Bundesverwaltungsgericht befasste sich im Rahmen des Referenzurteils D-7898/2015 vom 30. Januar 2017 mit der Frage, ob Eritreerinnen und Eritreer, die ihr Land illegal verlassen haben, allein deswegen bei einer Rückkehr Verfolgung zu befürchten haben. Nach einer umfassenden Analyse aller zur Verfügung stehenden Länderinformationen befand das Gericht, dass sich die bisherige Praxis nicht mehr aufrechterhalten liess und vom SEM zu Recht angepasst worden war. Es änderte seine Praxis hinsichtlich der Flüchtlingseigenschaft aufgrund subjektiver Nachfluchtgründe und kam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(ausführlich dazu das Referenzurteil D- 7898/2015 E. 4.6-5.1). Aufgrund dieses Urteils kann, in Übereinstimmung mit der Vorinstanz, auf eine eingehende Glaubhaftigkeitsbeurteilung der illegalen Ausreise des Beschwerdeführers verzichtet werden. Das Gericht kam im eben genannten Urteil wie erwähnt zum Schluss, dass nicht nur, aber auch für Minderjährige allein aufgrund einer illegalen Ausreise keine begründete Furcht vor asylrechtlich beachtlicher Verfolgung angenommen werden kann (vgl. oben, E. 7.2). Da der Beschwerdeführer zum Zeitpunkt der Ausreise das dienstpflichtige Alter noch nicht erreicht hatte und die geltend gemachte Inhaftierung des Vaters keine flüchtlingsrechtlichen Konsequenzen auslöste, steht vorliegend allein die illegale Ausreise zur Beurteilung an. Nachdem der Beschwerdeführer neben dieser illegalen Ausreise und allfälligen familiären Schwierigkeiten (Inhaftierung des Vaters) keine zusätzlichen Anknüpfungspunkte für eine Verschärfung seines Profils aufweist, ist vorliegend und in Anwendung des Referenzurteils D-7898/2015 nicht von einer flüchtlingsrechtlich beachtlichen Verfolgung auszugehen. Bei dieser Sachlage ist auch nicht weiter auf das Vorbringen einzugehen, die Vorinstanz habe im Zusammenhang mit der vorgebrachten illegalen Ausreise aus Eritrea die Begründungspflicht verletzt.</w:t>
      </w:r>
    </w:p>
    <w:p>
      <w:r>
        <w:rPr>
          <w:b/>
        </w:rPr>
        <w:t>E. 7.3</w:t>
      </w:r>
    </w:p>
    <w:p>
      <w:r>
        <w:t>Mit dem entsprechenden Referenzurteil hat das Bundesverwaltungsgericht auch implizit dem Vorgehen der Vorinstanz zugestimmt, weshalb der Beschwerdeführer aus BVGE 2010/54 nichts zu seinen Gunsten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Schliesslich hat die Vorinstanz die Praxisänderung dem Gericht vorgängig kommuniziert und die Öffentlichkeit durch die Medienkonferenz vom 23. Juni 2016 informiert. Die Vorgehensweise der Vorinstanz ist somit nicht zu beanstanden.</w:t>
      </w:r>
    </w:p>
    <w:p>
      <w:r>
        <w:rPr>
          <w:b/>
        </w:rPr>
        <w:t>E. 8</w:t>
      </w:r>
    </w:p>
    <w:p>
      <w:r>
        <w:t>Wie die Vorinstanz kommt das Gericht deshalb zum Schluss, dass der Beschwerdeführer keine begründete Furcht vor ernsthaften Nachteilen im Sinne von Art. 3 AsylG geltend machen kann. Zur Vermeidung von Wiederholungen ist auf die zutreffenden vorinstanzlichen Ausführungen sowie das oben erwähnte Referenzurteil des Bundesverwaltungsgerichts zu verweisen. Die Vorinstanz hat daher zu Recht die Flüchtlingseigenschaft des Beschwerdeführers verneint. Für die beantragte Rückweisung der Sache an die Vorinstanz besteht daher keine Veranlassung. Die Beschwerde ist abzuweisen.</w:t>
      </w:r>
    </w:p>
    <w:p>
      <w:r>
        <w:rPr>
          <w:b/>
        </w:rPr>
        <w:t>E. 9</w:t>
      </w:r>
    </w:p>
    <w:p>
      <w:r>
        <w:t>Aus diesen Erwägungen ergibt sich, dass die angefochtene Verfügung Bundesrecht nicht verletzt, den rechtserheblichen Sachverhalt richtig sowie vollständig feststellt (Art. 106 Abs. 1 AsylG). Die von der Vorinstanz wegen Unzumutbarkeit des Vollzugs verfügte vorläufige Aufnahme bleibt dadurch unberührt.</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Da ihm mit Verfügung vom 4. Oktober 2016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