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E-6020/2022 vom 20. Dezember 2022</w:t>
      </w:r>
    </w:p>
    <w:p>
      <w:r>
        <w:t>Bundesverwaltungsgericht, 2022-12-20, FR</w:t>
      </w:r>
    </w:p>
    <w:p>
      <w:r>
        <w:rPr>
          <w:b/>
        </w:rPr>
        <w:t xml:space="preserve">Quelle: </w:t>
      </w:r>
      <w:r>
        <w:t>https://mcp.opencaselaw.ch/entscheid/bvger_E-6020_2022_d20221220</w:t>
      </w:r>
    </w:p>
    <w:p>
      <w:r>
        <w:t>FR: TAF E-6020/2022 du 20 décembre 2022</w:t>
      </w:r>
    </w:p>
    <w:p>
      <w:r>
        <w:t>IT: TAF E-6020/2022 del 20 dicembre 2022</w:t>
      </w:r>
    </w:p>
    <w:p>
      <w:pPr>
        <w:pStyle w:val="Heading2"/>
      </w:pPr>
      <w:r>
        <w:t>Regeste</w:t>
      </w:r>
    </w:p>
    <w:p>
      <w:r>
        <w:t>Asile (non-entr&amp;eacute;e en mati&amp;egrave;re) et renvoi (proc&amp;eacute;dure Dublin - art. 31a al. 1 let. b LAsi) | Asile (non-entrée en matière / procédure Dublin) et renvoi ; décision du SEM du 20 décembre 2022</w:t>
      </w:r>
    </w:p>
    <w:p>
      <w:pPr>
        <w:pStyle w:val="Heading2"/>
      </w:pPr>
      <w:r>
        <w:t>Erwägungen</w:t>
      </w:r>
    </w:p>
    <w:p>
      <w:r>
        <w:rPr>
          <w:b/>
        </w:rPr>
        <w:t>E. 11</w:t>
      </w:r>
    </w:p>
    <w:p>
      <w:r>
        <w:t>août 1999 (OA 1, RS 142.311), que, dans son recours, l’intéressé s’oppose à son transfert vers l’Autriche au motif que les conditions d’accueil dans ce pays « étaient inappropriées », qu’il allègue à ce titre qu’il y aurait été laissé dans la rue, sans aucun moyen de subsistance, et qu’il n’aurait pas eu accès à un interprète, que, ce faisant, il sollicite implicitement l'application de la clause discrétionnaire prévue à l'art. 17 par. 1 du règlement Dublin III, qu’à cet égard, il convient de rappeler que l’Autriche est liée à la Charte UE et partie à la Convention du 28 juillet 1951 relative au statut des réfugiés (Conv. réfugiés, RS 0.142.30) ainsi qu’au Protocole additionnel du 31 janvier 1967 (RS 0.142.301), à la CEDH et à la Convention du 10 décembre 1984 contre la torture et autres peines ou traitements cruels, inhumains ou dégradants (Conv. torture, RS 0.105) et, à ce titre, en applique les dispositions, que, dans ces conditions, l’Autriche est présumée respecter la sécurité des demandeurs d'asile, en particulier leur droit à l'examen, selon une procédure juste et équitable, de leur demande, et leur garantir une protection conforme au droit international et au droit européen (cf. directive n° 2013/32/CE du Parlement européen et du Conseil du 26 juin 2013 relative à des procédures communes pour l’octroi et le retrait de la protection internationale [refonte ; JO L 180/60 du 29.06.2013 ; ci-après : directive Procédure] et directive n° 2013/33/UE du Parlement européen et du Conseil du 26 juin 2013 établissant des normes pour l’accueil des personnes demandant la protection internationale [refonte ; JO L 180/96 du 29.06.2013 ; ci-après : directive Accueil]),</w:t>
      </w:r>
    </w:p>
    <w:p>
      <w:r>
        <w:t>E-6020/2022 Page 7 que cette présomption de sécurité n’est cependant pas irréfragable, qu’en l’espèce, l'intéressé n'a pas démontré l’existence d’un risque concret que les autorités autrichiennes refuseraient de mener à bien sa procédure d’asile, en violation de la directive Procédure susmentionnée, que, dans son recours, il se limite en effet à des affirmations très générales et en rien étayées, étant souligné qu’ayant quitté l’Autriche quelques jours après son arrivée, il n’a pas laissé la possibilité aux autorités de ce pays d’instruire sa demande d’asile et de lui accorder leur soutien, qu’en outre, il n'a fourni aucun élément concret susceptible de démontrer que l’Autriche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établi, ni même rendu vraisemblable, que ses conditions d'existence en Autriche revêtiraient un tel degré de pénibilité et de gravité qu'elles seraient constitutives d'un traitement contraire à l'art. 3 CEDH ou encore à l'art. 3 Conv. torture, qu’en particulier, il n’a pas apporté d’indices objectifs, concrets et sérieux qu’il serait lui-même privé durablement de tout accès aux conditions matérielles minimales d’accueil prévues par la directive Accueil, qu’au demeurant, si – après son retour en Autriche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(cf. art. 26 directive Accueil), que, par ailleurs, l’intéressé ne fait pas valoir qu’il souffre actuellement de problèmes de santé particuliers, que, lors de son entretien « Dublin » du 25 octobre 2022, il a indiqué être en bonne santé, qu’il ne ressort en outre aucunement du dossier que le recourant présenterait des affections médicales atteignant le niveau de gravité requis</w:t>
      </w:r>
    </w:p>
    <w:p>
      <w:r>
        <w:t>E-6020/2022 Page 8 par l’art. 3 CEDH et la jurisprudence restrictive applicable en la matière (cf. CourEDH, arrêt Paposhvili c. Belgique [GC] du 13 décembre 2016, n° 41738/10, par. 183), qu’au contraire, selon les rapports médicaux émis les (…) octobre et (…) décembre 2022, il a bénéficié de soins uniquement pour des caries, que dans ces conditions, le transfert de l’intéressé en Autriche est conforme aux engagements de droit international de la Suisse, que, compte tenu des pièces au dossier,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que, dans un souci d’exhaustivité, le Tribunal tient encore à relever que le règlement Dublin III ne confère pas aux requérants le droit de choisir l’Etat membre offrant, à leur avis, les meilleures condition d’accueil comme Etat responsable de l’examen de leur demande d’asile (cf. ATAF 2010/45 consid. 8.3), qu’ainsi, les arguments présentés par le recourant durant son entretien « Dublin », selon lesquels il voulait dès le départ se rendre en Suisse et souhaitait voir sa demande d’asile traitée dans ce pays, ne sont pas déterminants et ne sauraient remettre en cause la compétence de l’Autriche (cf. arrêt du Tribunal E-4027/2022 du 21 septembre 2022 consid. 5.3), que c'est donc à bon droit que le SEM a considéré que l’Autriche était l'Etat membre responsable du traitement de la demande de protection internationale introduite par l’intéressé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qu’en conclusion, c'est à juste titre que le SEM n'est pas entré en matière sur la demande d'asile du recourant, en application de l'art. 31a al. 1 let. b LAsi, et qu'il a prononcé son transfert de Suisse vers l’Autriche, en application de l'art. 44 LAsi, aucune exception à la règle générale du renvoi n'étant réalisée (cf. art. 32 OA 1),</w:t>
      </w:r>
    </w:p>
    <w:p>
      <w:r>
        <w:t>E-6020/2022 Page 9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a été directement statué sur le fond, les requêtes formulées dans le recours tendant au prononcé de mesures provisionnelles urgentes et à l’octroi de l’effet suspensif sont sans objet, qu’il en va de même de la demande tendant à l’exemption du versement d’une avance de frais, qu’en outre, les conclusions du recours étant d'emblée vouées à l'échec, la requête d'assistance judiciaire totale contenue dans le mémoire de recours est rejetée (cf. art. 65 al. 1 PA et art. 102m al. 1 lit. a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E-6020/2022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