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E-6020/2018 vom 19. Februar 2020</w:t>
      </w:r>
    </w:p>
    <w:p>
      <w:r>
        <w:t>Bundesverwaltungsgericht, 2020-02-19, DE</w:t>
      </w:r>
    </w:p>
    <w:p>
      <w:r>
        <w:rPr>
          <w:b/>
        </w:rPr>
        <w:t xml:space="preserve">Quelle: </w:t>
      </w:r>
      <w:r>
        <w:t>https://mcp.opencaselaw.ch/entscheid/bvger_E-6020_2018</w:t>
      </w:r>
    </w:p>
    <w:p>
      <w:r>
        <w:t>FR: TAF E-6020/2018 du 19 février 2020</w:t>
      </w:r>
    </w:p>
    <w:p>
      <w:r>
        <w:t>IT: TAF E-6020/2018 del 19 febbraio 2020</w:t>
      </w:r>
    </w:p>
    <w:p>
      <w:pPr>
        <w:pStyle w:val="Heading2"/>
      </w:pPr>
      <w:r>
        <w:t>Regeste</w:t>
      </w:r>
    </w:p>
    <w:p>
      <w:r>
        <w:t>Asyl und Wegweisung</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vorgebracht, die Vorinstanz habe das rechtliche Gehör des Beschwerdeführers und insbesondere die Begründungspflicht verletzt. Indem sie nur pauschal angegeben habe, der Beschwerdeführer habe sich widersprochen, habe sie die Verfügung nicht in der gebotenen Dichte begründet. Ferner habe sie sich nicht damit auseinandergesetzt, welche Strafe dem Beschwerdeführer im Iran drohen würde.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Begründungsdichte hängt wesentlich von den Vorbringen der Verfahrensbeteiligten ab. Je eingehender und spezifischer die Parteien ihre Standpunkte darlegen, desto einlässlicher hat grundsätzlich auch die Entscheidbegründung auszufallen. Jedenfalls muss die Begründung so abgefasst sein, dass der Betroffene sie sachgerecht anfechten kann (vgl. BGE 141 III 28 E. 3.2.4, 138 I 232 E. 5.1, 136 I 229 E. 5.2; BVGE 2009/35 E. 6.4.1; Uhlmann/Schilling-Schwank, Praxiskommentar VwVG, 2. Aufl. 2016, Art. 35 Rz. 17 ff., Kölz/Häner/Bertschi, Verwaltungsverfahren und Verwaltungsrechtspflege des Bundes, 3. Aufl. 2013, Rz. 629 f.; Moser/Beusch/Kneubühler, Prozessieren vor dem Bundesverwaltungsgericht, 2. Auflage 2013, Rz. 3.103 ff.; Lorenz Kneubühler, Die Begründungspflicht, 1998, S. 184 f.). Setzt sich eine Behörde nicht in ausreichendem Mass mit den rechtsgenügend vorgebrachten Rügen auseinander, so begeht sie eine Verletzung des rechtlichen Gehörs bzw. eine formelle Rechtsverweigerung (vgl. Rhinow et al, Öffentliches Prozessrecht, 3. Aufl. 2014, Rz. 287).</w:t>
      </w:r>
    </w:p>
    <w:p>
      <w:r>
        <w:rPr>
          <w:b/>
        </w:rPr>
        <w:t>E. 4.3</w:t>
      </w:r>
    </w:p>
    <w:p>
      <w:r>
        <w:t>Es trifft zu, dass die Vorinstanz in der angefochtenen Verfügung keine detaillierten Aktenfundstellen nannte. Der Begründung ist aber zu entnehmen, welche Angaben im Einzelnen als widersprüchlich, substanzarm, frei von Realkennzeichen und ausweichend beurteilt wurden. Damit war es dem Beschwerdeführer möglich, sich über die Tragweite des Entscheids ein Bild zu machen, und er konnte die Verfügung auch sachgerecht anfechten. Entgegen der in der Beschwerde vertretenen Ansicht hat die Vorinstanz die Vorbringen des Beschwerdeführers gehört und berücksichtigt. Nachdem sie die Ausführungen als nicht glaubhaft erachtete und dies auch ausführlich begründete, bestand kein Anlass für eine Auseinandersetzung mit der Frage des Strafmasses für ausserehelichen Geschlechtsverkehr im Iran.</w:t>
      </w:r>
    </w:p>
    <w:p>
      <w:r>
        <w:rPr>
          <w:b/>
        </w:rPr>
        <w:t>E. 5.1</w:t>
      </w:r>
    </w:p>
    <w:p>
      <w:r>
        <w:t>Die Vorinstanz stellte in der angefochtenen Verfügung fest, die Vorbringen des Beschwerdeführers seien nicht glaubhaft und würden damit den Anforderungen gemäss Art. 7 AsylG nicht genügen.</w:t>
      </w:r>
    </w:p>
    <w:p>
      <w:r>
        <w:rPr>
          <w:b/>
        </w:rPr>
        <w:t>E. 5.2</w:t>
      </w:r>
    </w:p>
    <w:p>
      <w:r>
        <w:t>Zur Begründung legte sie dar, der Beschwerdeführer habe alle zum Kerngeschehen seines Asylvorbringens gehörigen Sachverhalte - etwa die Festnahme und Haftzeit - auch auf mehrfache Nachfrage hin weitgehend plakativ, substanzarm und frei von Realkennzeichen geschildert. Ferner habe er sich an verschiedener Stelle widersprochen. Generell habe er teils ausweichend, divergierend und nicht nachvollziehbar auf verschiedene Nachfragen in Bezug darauf, welche Dokumente bezüglich seiner Entlassung, seines Strafverfahrens und der Hausverpfändung vorlägen und weshalb er solche nicht einreichen könne, geantwortet. Auch die Frage wo sich seine Identitätsdokumente befänden, habe er an der BzP und der Anhörung unterschiedlich beantwortet. Sein eigener Wissensstand bezüglich seines Strafverfahrens mute eigenartig an und es erscheine wenig nachvollziehbar, dass er den Familiennamen, der mit ihm festgenommenen Frau nicht kenne. Zudem gehe in seinen Schilderungen an verschiedener Stelle die Chronologie nicht auf. Er habe angegeben, 2014, ungefähr ein Jahr nach der Festnahme, erstmals vor Gericht vorgeladen worden zu sein. Daraufhin sei ein Haftbefehl ausgestellt worden. Er habe aber ebenfalls zu Protokoll gegeben, er sei im (...) 2015 legal C._______ gereist. Weiter habe er auch nicht nachvollziehbar erklären können, weshalb er an der BzP angegeben habe, er habe zwei Wochen in B._______ geweilt, und an der Anhörung gesagt habe, es seien zwei Monate gewesen. Aus den widersprüchlichen, chronologisch nicht kongruenten, teils nicht plausiblen und weitgehend substanzarmen Schilderungen ergebe sich ein Bild einer zumindest in Teilen konstruierten Geschichte, die dem Beschwerdeführer nicht wie dargestellt widerfahren sein könne. Insofern könne auf weitere Abklärungen in Bezug auf die angegebene Verfahrensnummer verzichtet werden.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7.1</w:t>
      </w:r>
    </w:p>
    <w:p>
      <w:r>
        <w:t>Nach Prüfung der Akten ergibt sich, das die Vorinstanz in ihren Erwägungen zur zutreffenden Erkenntnis gelangt ist, die Vorbringen des Beschwerdeführers würden den Anforderungen an die Glaubhaftigkeit im Sinne von Art. 7 AsylG nicht genügen. Um Wiederholungen zu vermeiden, kann vollumfänglich auf die zutreffenden und ausführlichen Ausführungen in der angefochtenen Verfügung verwiesen werden. Was in der Beschwerde dagegen vorgebracht wird, ist nicht geeignet, die vorinstanzliche Beurteilung umzustossen.</w:t>
      </w:r>
    </w:p>
    <w:p>
      <w:r>
        <w:rPr>
          <w:b/>
        </w:rPr>
        <w:t>E. 7.2</w:t>
      </w:r>
    </w:p>
    <w:p>
      <w:r>
        <w:t>Ergänzend ist festzuhalten, dass sich die Vorinstanz in der angefochtenen Verfügung - entgegen der Ansicht des Beschwerdeführers - umfassend mit seinen Schilderungen auseinandergesetzt und zutreffend festgehalten hat, die Aussagen seien oberflächlich, widersprüchlich und enthielten kaum Realkennzeichen. Die Ungereimtheiten in den Angaben ziehen sich wie ein roter Faden durch die Ausführungen und ergeben sich nicht nur im Vergleich zwischen den Angaben in der BzP und der Anhörung, sondern finden sich auch wiederholt innerhalb der Anhörung. Die Vorinstanz hat auf einzelne besonders ausgeprägte Divergenzen hingewiesen. Aufgrund der diversen unterschiedlichen zeitlichen Angaben, lässt sich keine Chronologie der Abläufe erstellen. Der Beschwerdeführer konnte die Widersprüche in der Chronologie auch auf Nachfrage hin nicht auflösen (vgl. u.a. SEM-Akte A15/30 F90-93 und F136, F160). Auffällig ist auch, dass diverse vom Beschwerdeführer geschilderte Ereignisse sich entweder drei Monate oder ein Jahr vor der Ausreise zugetragen haben sollen. Drei Monate vor der Ausreise sei das Büro plombiert worden (F105, 142) und habe er den Haftbefehl erhalten (F160, F162). Demgegenüber habe er die Adresse und den Namen der Firma bereits ein Jahr vor der Ausreise geändert (F35-39). Insgesamt ergeben die Schilderungen des Beschwerdeführers keinen in sich stimmigen Ereignisablauf. Zudem hat die Vorinstanz zu Recht darauf hingewiesen, der Beschwerdeführer habe anlässlich der BzP ausgesagt, er habe keine Dokumente bezüglich seiner Anklage (SEM-Akte A4/13 Ziff. 7.01 S. 8), an der Anhörung aber angegeben, er habe ein Entlassungsschreiben erhalten (SEM-Akte A15/30 F72-80). Insbesondere diese Divergenz in den Angaben ist nicht nachvollziehbar. Indem er in der Beschwerde lediglich an der Glaubhaftigkeit seiner Angaben festhält und eine andere Würdigung fordert, vermag der Beschwerdeführer nicht darzulegen, inwiefern die Vorinstanz zu Unrecht von der Unglaubhaftigkeit seiner Vorbringen ausgegangen sein soll. Es ist ihm damit auch auf Beschwerdeebene nicht gelungen, die Ungereimtheiten aufzulösen und damit seine Vorbringen glaubhaft zu machen.</w:t>
      </w:r>
    </w:p>
    <w:p>
      <w:r>
        <w:rPr>
          <w:b/>
        </w:rPr>
        <w:t>E. 7.3</w:t>
      </w:r>
    </w:p>
    <w:p>
      <w:r>
        <w:t>Zusammenfassend ist festzuhalten, dass der Beschwerdeführer nichts vorgebracht hat, was geeignet wäre, seine Flüchtlingseigenschaft nachzuweisen oder zumindest glaubhaft zu machen. Die Vorinstanz hat sein Asylgesuch daher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weder Krieg oder Bürgerkrieg noch eine Situation allgemeiner Gewalt, aufgrund derer eine Rückkehr generell unzumutbar wäre (vgl. beispielsweise Urteile des BVGer E-4066/2019 vom 28. Januar 2020 E. 8.4.1, E-353/2019 vom 22. März 2019 E. 10.4.1). Sodann lassen weder die allgemeine Lage im Iran noch individuelle Gründe auf eine konkrete Gefährdung des Beschwerdeführers in seinem Heimatland schliessen. Der Beschwerdeführer verfügt eigenen Angaben gemäss über eine fundierte Schul- und Ausbildung und langjährige Arbeitserfahrung. Ferner hat er in der Heimat ein familiäres Beziehungsnetz, welches ihn bei Bedarf unterstützen kann. Demzufolge ist nicht davon auszugehen, er würde bei einer Rückkehr in eine existenzielle Notlage geraten.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31. Oktober 2018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