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E-6019/2020 vom 29. Oktober 2020</w:t>
      </w:r>
    </w:p>
    <w:p>
      <w:r>
        <w:t>Bundesverwaltungsgericht, 2020-10-29, DE</w:t>
      </w:r>
    </w:p>
    <w:p>
      <w:r>
        <w:rPr>
          <w:b/>
        </w:rPr>
        <w:t xml:space="preserve">Quelle: </w:t>
      </w:r>
      <w:r>
        <w:t>https://mcp.opencaselaw.ch/entscheid/bvger_E-6019_2020_d20201029</w:t>
      </w:r>
    </w:p>
    <w:p>
      <w:r>
        <w:t>FR: TAF E-6019/2020 du 29 octobre 2020</w:t>
      </w:r>
    </w:p>
    <w:p>
      <w:r>
        <w:t>IT: TAF E-6019/2020 del 29 ottobre 2020</w:t>
      </w:r>
    </w:p>
    <w:p>
      <w:pPr>
        <w:pStyle w:val="Heading2"/>
      </w:pPr>
      <w:r>
        <w:t>Regeste</w:t>
      </w:r>
    </w:p>
    <w:p>
      <w:r>
        <w:t>Asyl und Wegweisung | Asyl und Wegweisung; Verfügung des SEM vom 29. Oktober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ist als Verfügungsadressatin zur Beschwerdeführung legitimiert (Art. 48 VwVG).</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t>E-6019/2020 Seite 6</w:t>
      </w:r>
    </w:p>
    <w:p>
      <w:r>
        <w:rPr>
          <w:b/>
        </w:rPr>
        <w:t>E. 4</w:t>
      </w:r>
    </w:p>
    <w:p>
      <w:r>
        <w:t>Mit Verfügung vom 18. März 2021 zog die Vorinstanz ihre Verfügung vom 29. Oktober 2020 teilweise in Wiedererwägung, anerkannte die Beschwer- deführerin infolge subjektiver Nachfluchtgründe als Flüchtling und verfügte wegen Unzulässigkeit des Wegweisungsvollzugs die vorläufige Aufnahme. Nachdem die Beschwerdeführerin ausdrücklich an der Beschwerde im ver- bleibenden Asylpunkt festhält, ist vorliegend (noch) zu prüfen, ob die Vor- instanz die Ablehnung des Asylgesuchs – aufgrund der Verneinung von Vorfluchtgründen – und die Anordnung der Wegweisung als solche zu Recht verfügt hat.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ihren Entscheid im Wesentlichen damit, der Vater der Beschwerdeführerin sei in der Schweiz als Flüchtling anerkannt und ihm sei die vorläufige Aufnahme gewährt worden. Ihre Ausführungen zu seinen Demonstrationstätigkeiten seien widersprüchlich ausgefallen. Zu den Hausbesuchen der chinesischen Polizei und den zeitlichen Angaben der Behelligungen habe sie ausweichende und nicht konkrete Angaben ge- macht. Die Verhaftung ihres Bruders habe sie nicht begründen können. Zudem habe sie das Prozedere der Ausstellung einer chinesischen</w:t>
      </w:r>
    </w:p>
    <w:p>
      <w:r>
        <w:t>E-6019/2020 Seite 7 Identitätskarte nicht korrekt aufzeigen können. Beim Grund ihrer Ausreise, die Sorge ihrer Mutter, dass ihre (der Beschwerdeführerin) Verfolgung durch die chinesische Polizei mit Erreichen des Erwachsenenalters zuneh- men würde, handle es sich nicht um ein asylrelevantes Motiv.</w:t>
      </w:r>
    </w:p>
    <w:p>
      <w:r>
        <w:rPr>
          <w:b/>
        </w:rPr>
        <w:t>E. 6.2</w:t>
      </w:r>
    </w:p>
    <w:p>
      <w:r>
        <w:t>Die Beschwerdeführerin bringt vor, aufgrund der Inhaftierung ihres Bru- ders sei davon auszugehen, dass auch sie bei einer Rückkehr in ihr Hei- matland wegen der politischen Tätigkeit ihres Vaters von der chinesischen Polizei bedroht werden würde. Angesichts ihres jungen Alters könnten die Hausbesuche und Belästigungen durch die chinesische Polizei eine trau- matisierende Auswirkung auf sie haben, weshalb sie keine detaillierten An- gaben machen könne. Es sei zudem davon auszugehen, dass sie aus ei- nem Schutzgedanken heraus weder von der Mutter noch vom Grossvater über die genaue politische Tätigkeit ihres Vaters in China informiert worden sei. Sie sei nicht über das Prozedere der Ausstellung einer chinesischen Identitätskarte aufgeklärt worden und bei deren Ausstellung sei sie nicht anwesend gewesen.</w:t>
      </w:r>
    </w:p>
    <w:p>
      <w:r>
        <w:rPr>
          <w:b/>
        </w:rPr>
        <w:t>E. 6.3</w:t>
      </w:r>
    </w:p>
    <w:p>
      <w:r>
        <w:t>In der Verfügung vom 18. März 2021 – teilweise Wiedererwägung des Entscheids der Vorinstanz vom 29. Oktober 2020 – führt die Vorinstanz aus, das Asylgesuch des Vaters der Beschwerdeführerin sei mit Verfügung vom 23. Februar 2015 abgelehnt worden, da seine Vorbringen den Anfor- derungen an die Glaubhaftigkeit nicht standgehalten hätten. Die Beschwer- deführerin habe die geltend gemachte Reflexverfolgung und ihre Ausreise aus ihrem Heimatland nicht glaubhaft darlegen können. An ihrer tibetischen Ethnie und ihrer Herkunft aus der Volksrepublik China würden angesichts der eingereichten Abstammungsuntersuchung keine Zweifel bestehen, weshalb bei ihr eine begründete Furcht bestehe, bei einer Rückkehr in ih- ren Heimatstaat flüchtlingsrechtlich relevanten Übergriffen ausgesetzt zu werden. Sie erfülle die Flüchtlingseigenschaft aufgrund subjektiver Nach- fluchtgründe. Von der Asylgewährung sei sie daher auszuschliessen.</w:t>
      </w:r>
    </w:p>
    <w:p>
      <w:r>
        <w:rPr>
          <w:b/>
        </w:rPr>
        <w:t>E. 7.1</w:t>
      </w:r>
    </w:p>
    <w:p>
      <w:r>
        <w:t>Die Vorinstanz ist in ihren Erwägungen zur zutreffenden Erkenntnis ge- kommen, dass die Vorbringen der Beschwerdeführerin unglaubhaft sind. Selbst nach mehrmaliger Aufforderung, detaillierte Angaben zu machen, gelang es ihr nicht, ihre Vorbringen, insbesondere zur Demonstrationstä- tigkeit ihres Vaters, zur Verhaftung ihres Buders und zu den Behelligungen der Familie durch Behördenmitglieder mit einem persönlichen Erlebnisbe- zug zu versehen (vgl. act. A18 F24-28, F43-52). Sie macht insgesamt ein- zig geltend, sie sei in ihrem Heimatland aufgrund der Demonstrations-</w:t>
      </w:r>
    </w:p>
    <w:p>
      <w:r>
        <w:t>E-6019/2020 Seite 8 tätigkeiten ihres Vaters von den chinesischen Behörden verfolgt worden. Ihr Vater konnte seine illegale Ausreise und seine Herkunft glaubhaft dar- legen, weshalb er als Flüchtling anerkannt und vorläufig in der Schweiz aufgenommen wurde. Sein Asylgesuch wurde hingegen entgegen ihrer An- sicht in der Beschwerde aufgrund der Unglaubhaftigkeit seiner Aussagen zu seinen politischen Aktivitäten mit Asylentscheid vom 23. Februar 2015 unangefochten abgewiesen. Somit ist ihrer Furcht vor Reflexverfolgung aufgrund politischer Aktivitäten ihres Vaters bereits der Boden entzogen. Es erübrigt sich somit, auf weitere Widersprüche und Ungereimtheiten in ihren Aussagen einzugehen.</w:t>
      </w:r>
    </w:p>
    <w:p>
      <w:r>
        <w:rPr>
          <w:b/>
        </w:rPr>
        <w:t>E. 7.2</w:t>
      </w:r>
    </w:p>
    <w:p>
      <w:r>
        <w:t>Zusammenfassend ist es der Beschwerdeführerin nicht gelungen, eine im Zeitpunkt ihrer Ausreise aus China am 2. April 2018 bestehende oder unmittelbar drohende asylrelevante Verfolgung im Sinne von Art. 3 AsylG nachzuweisen oder zumindest glaubhaft zu machen. Die Vorinstanz hat ihr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genannten drei Bedingungen für einen Verzicht auf den Vollzug der Wegweisung sind alternativer Natur: Ist eine erfüllt, so ist der Vollzug der Wegweisung als undurchführbar zu erachten, und die weitere Anwesenheit in der Schweiz gemäss den Bestimmungen über die vorläufige Aufnahme zu regeln (vgl. BVGE 2009/51 E. 5.4).</w:t>
      </w:r>
    </w:p>
    <w:p>
      <w:r>
        <w:rPr>
          <w:b/>
        </w:rPr>
        <w:t>E. 9.3</w:t>
      </w:r>
    </w:p>
    <w:p>
      <w:r>
        <w:t>Mit dem vorliegenden Urteil erwächst die von der Vorinstanz mit Verfü- gung vom 18. März 2021 angeordnete vorläufige Aufnahme wegen Unzu- lässigkeit des Wegweisungsvollzugs der als Flüchtling anerkannten</w:t>
      </w:r>
    </w:p>
    <w:p>
      <w:r>
        <w:t>E-6019/2020 Seite 9 Beschwerdeführerin in Rechtskraft. Daher erübrigt sich eine Prüfung der übrigen Voraussetzungen des Wegweisungsvollzugs (vgl. BVGE 2009/51 E. 5.4).</w:t>
      </w:r>
    </w:p>
    <w:p>
      <w:r>
        <w:rPr>
          <w:b/>
        </w:rPr>
        <w:t>E. 10</w:t>
      </w:r>
    </w:p>
    <w:p>
      <w:r>
        <w:t>In Anbetracht der Erwägungen ergibt sich, dass die angefochtene Verfü- gung vom 29. Oktober 2020 in Bezug auf die Verweigerung von Asyl infolge Nichtanerkennung der Flüchtlingseigenschaft aufgrund von Vorfluchtgrün- den und die Anordnung der Wegweisung Bundesrecht nicht verletzt und den rechtserheblichen Sachverhalt richtig sowie vollständig feststellt (Art. 106 Abs. 1 AsylG). Die Beschwerde ist somit abzuweisen, soweit sie nicht hinsichtlich der Fragen der Flüchtlingseigenschaft wegen des Vorlie- gens subjektiver Nachfluchtgründe und des Wegweisungsvollzugs als durch die (teilweise) Wiedererwägung der Vorinstanz vom 18. März 2021 gegenstandslos geworden abzuschreiben ist.</w:t>
      </w:r>
    </w:p>
    <w:p>
      <w:r>
        <w:rPr>
          <w:b/>
        </w:rPr>
        <w:t>E. 11.1</w:t>
      </w:r>
    </w:p>
    <w:p>
      <w:r>
        <w:t>Die Kosten des Beschwerdeverfahrens und die Parteientschädigung sind nach dem Verhältnis von Obsiegen und Unterliegen der beschwerde- führenden Person aufzuerlegen beziehungsweise zuzusprechen.</w:t>
      </w:r>
    </w:p>
    <w:p>
      <w:r>
        <w:rPr>
          <w:b/>
        </w:rPr>
        <w:t>E. 11.2</w:t>
      </w:r>
    </w:p>
    <w:p>
      <w:r>
        <w:t>Beim vorliegenden Verfahrensausgang ist von einem teilweisen Ob- siegen der Beschwerdeführerin auszugehen. Ihr ist nach dem Grad des Durchdringens (Feststellung der Flüchtlingseigenschaft und Verzicht auf den Wegweisungsvollzug) praxisgemäss ein Drittel der Verfahrenskosten aufzuerlegen (Art. 63 Abs. 1 und 5 VwVG; Art. 1–3 des Reglements vom 21. Februar 2008 über die Kosten und Entschädigungen vor dem Bundes- verwaltungsgericht [VGKE, SR 173.320.2]). Mit Zwischenverfügung vom 5. Januar 2021 wurde das Gesuch der Beschwerdeführerin um Gewäh- rung der unentgeltlichen Prozessführung gutgeheissen und auf die Erhe- bung eines Kostenvorschusses verzichtet. Aufgrund der zwischenzeitlich aktenkundig gewordenen Erwerbstätigkeit wurde die Beschwerdeführerin mit Zwischenverfügung vom 16. Oktober 2023 aufgefordert, dem Gericht eine aktuelle Fürsorgebestätigung beziehungsweise das ausgefüllte For- mular „Gesuch um unentgeltliche Rechtspflege“ einzureichen, mit der An- drohung, bei Nichteinreichen der erforderlichen Unterlagen innert Frist werde davon ausgegangen, dass sie nicht mehr bedürftig sei. Die Be- schwerdeführerin reagierte trotz Anschreibens ihrer Rechtsvertreterin an ihre aktuelle Wohnadresse nicht (vgl. vorliegendes Verfahren act. 16) und reichte innert verlängerter Frist keine Unterlagen ein. Demnach ist sie im Sinne von Art. 65 Abs. 1 VwVG nicht mehr als bedürftig zu bezeichnen. Aus</w:t>
      </w:r>
    </w:p>
    <w:p>
      <w:r>
        <w:t>E-6019/2020 Seite 10 diesem Grund ist die Zwischenverfügung vom 5. Januar 2021 betreffend die Gutheissung des Gesuchs um Gewährung der unentgeltlichen Pro- zessführung wiedererwägungsweise aufzuheben. Die Kosten für das vor- liegende Verfahren sind der Beschwerdeführerin zu einem Drittel aufzuer- legen und betragen Fr. 250.– (Art. 63 Abs. 1 VwVG; Art. 1–3 VGKE).</w:t>
      </w:r>
    </w:p>
    <w:p>
      <w:r>
        <w:rPr>
          <w:b/>
        </w:rPr>
        <w:t>E. 11.3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Anerkennung der Flüchtlingseigenschaft und die Gewährung der vorläufigen Aufnahme durch die Vorinstanz herbeigeführt wurde. Es wurde keine Kostennote ein- gereicht, weshalb die notwendigen Parteikosten aufgrund der Akten zu be- stimmen sind (Art. 14 Abs. 2 in fine VGKE). Gestützt auf die in Betracht zu ziehenden Bemessungsfaktoren (Art. 9–13 VGKE) und aufgrund des teil- weisen Obsiegens der Beschwerdeführerin hat die Vorinstanz ihr eine pra- xisgemäss um einen Drittel reduzierte Parteientschädigung von Fr. 545.– zuzüglich Auslagen für das Gutachten zur Abstammungsuntersuchung vom 10. Februar 2021 in der Höhe von Fr. 600.– (Art. 9 Abs. 2 Bst. b VGKE), somit insgesamt Fr. 1’145.– (inkl. Mehrwertsteuerzuschlag), aus- zurichten.</w:t>
      </w:r>
    </w:p>
    <w:p>
      <w:r>
        <w:rPr>
          <w:b/>
        </w:rPr>
        <w:t>E. 11.4</w:t>
      </w:r>
    </w:p>
    <w:p>
      <w:r>
        <w:t>Mit derselben Zwischenverfügung wurde auch der Antrag auf unent- geltliche Rechtsverbeiständung im Sinne von aArt. 110a AsylG gutgeheis- sen und der Beschwerdeführerin die rubrizierte Rechtsvertreterin amtlich beigeordnet. Vorgenannte Zwischenverfügung ist – aufgrund des Wegfal- lens der Voraussetzungen – auch diesbezüglich zu widerrufen, wobei der Widerruf seine Wirkung ex nunc entfaltet (vgl. Urteil des BVGer D-5113/2020 vom 21. April 2023 E. 12.3.1). Die rubrizierte Rechtsvertrete- rin ist demnach für den bisher entstandenen Aufwand zu entschädigen, so- weit dieser sachlich notwendig war (vgl. Art. 12 i.V.m. Art. 8 Abs. 2 VGKE). Vorliegend wurde keine Kostennote zu den Akten gereicht. Der Aufwand lässt sich allerdings aufgrund der Akten zuverlässig abschätzen (Art. 14 Abs. 2 VGKE). Das Bundesverwaltungsgericht geht bei amtlicher Vertre- tung in der Regel von einem Stundenansatz Fr. 200.– bis Fr. 220.– für an- waltliche Rechtsvertreter aus (vgl. Art. 12 i.V.m. Art. 10 Abs. 2 VGKE). Aus- gehend von einem Stundenansatz von Fr. 220.– ist das Honorar für die amtliche Rechtsbeiständin zufolge ihres Unterliegens zu einem Drittel auf</w:t>
      </w:r>
    </w:p>
    <w:p>
      <w:r>
        <w:t>E-6019/2020 Seite 11 Fr. 715.– (inkl. Auslagen und Mehrwertsteuerzuschlag) festzusetzen und geht zulasten der Gerichtskasse des Bundesverwaltungsgerichts.</w:t>
      </w:r>
    </w:p>
    <w:p>
      <w:r>
        <w:t>(Dispositiv nächste Seite)</w:t>
      </w:r>
    </w:p>
    <w:p>
      <w:r>
        <w:t>E-6019/2020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