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E-6010/2011 vom 17. Juli 2013</w:t>
      </w:r>
    </w:p>
    <w:p>
      <w:r>
        <w:t>Bundesverwaltungsgericht, 2013-07-17, DE</w:t>
      </w:r>
    </w:p>
    <w:p>
      <w:r>
        <w:rPr>
          <w:b/>
        </w:rPr>
        <w:t xml:space="preserve">Quelle: </w:t>
      </w:r>
      <w:r>
        <w:t>https://mcp.opencaselaw.ch/entscheid/bvger_E-6010_2011</w:t>
      </w:r>
    </w:p>
    <w:p>
      <w:r>
        <w:t>FR: TAF E-6010/2011 du 17 juillet 2013</w:t>
      </w:r>
    </w:p>
    <w:p>
      <w:r>
        <w:t>IT: TAF E-6010/2011 del 17 luglio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und unvollständige Feststellung des rechtserheblichen Sachverhalts und Unangemessenheit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AsylG).</w:t>
      </w:r>
    </w:p>
    <w:p>
      <w:r>
        <w:rPr>
          <w:b/>
        </w:rPr>
        <w:t>E. 5.1</w:t>
      </w:r>
    </w:p>
    <w:p>
      <w:r>
        <w:t>Die Vorinstanz gelangt in der angefochtenen Verfügung zum Schluss, die Vorbringen des Beschwerdeführers würden den Anforderungen an die Flüchtlingseigenschaft gemäss Art. 3 AsylG nicht standhalten. Die geltend gemachten Anhaltungen sowohl seitens der LTTE als auch der SLA sowie die eintägige Inhaftierung würden keine Zwangssituation zu begründen vermögen und seien daher nicht asylrelevant. Die geltend gemachten Vorkommnisse hätten sich in der Zeit des Krieges zwischen der Regierung und der LTTE zugetragen und seien auf diesen zurückzuführen. Bei allen Ereignissen handle es sich um lokale Benachteiligungen, welchen sich der Beschwerdeführer durch einen Wegzug hätte entziehen können. Sodann stelle sich die Situation in Sri Lanka heute anderes dar. Der Krieg zwischen der sri-lankischen Regierung und den LTTE sei seit Mai 2009 beendet. Seither befinde sich das Land wieder unter Regierungskontrolle und es sei zu keinen terroristischen Aktivitäten der LTTE mehr gekommen. Der Staat setze viel daran, ein Erstarken der LTTE zu verhindern und die Sicherheits- und Menschrechtslage habe sich in weiten Teilen des Landes verbessert. Angesichts dieser verbesserten Lage und dem Umstand, dass der Beschwerdeführer kein politisches Profil aufweise, sei nicht davon auszugehen, dass er heute begründete Furcht vor zukünftiger Verfolgung habe.</w:t>
      </w:r>
    </w:p>
    <w:p>
      <w:r>
        <w:rPr>
          <w:b/>
        </w:rPr>
        <w:t>E. 5.2</w:t>
      </w:r>
    </w:p>
    <w:p>
      <w:r>
        <w:t>In der Rechtsmitteleingabe wird vorweg gerügt, die Vorinstanz habe den Sachverhalt ungenügend festgestellt. Indes unterlässt es der Beschwerdeführer, die erhobene Rüge nur schon ansatzweise zu substantiieren und zeigt nicht auf, inwiefern die Sachverhaltsfeststellung zu bestanden sein soll. Solches ist auch nicht ersichtlich. Der Antrag auf eine Parteibefragung, wie an verschiedenen Stellen der Rechtsmitteleingabe verlangt, ist in antizipierter Beweiswürdigung abzuweisen.</w:t>
      </w:r>
    </w:p>
    <w:p>
      <w:r>
        <w:rPr>
          <w:b/>
        </w:rPr>
        <w:t>E. 5.3</w:t>
      </w:r>
    </w:p>
    <w:p>
      <w:r>
        <w:t>Der Beschwerdeführer macht weiter geltend, indem die Vorinstanz ihn nicht als Flüchtling anerkenne, verletze sie Bundesrecht. Seitens der Armee sei ihm unterstellt worden, Mitglied der LTTE zu sein. Die vorinstanzliche Schlussfolgerung ist indes nicht zu beanstanden. Der Beschwerdeführer hat anlässlich keiner Befragung geltend gemacht, seitens der SLA je der Mitgliedschaft bei den LTTE verdächtigt worden zu sein. Insoweit gehen die entsprechenden Ausführungen in der Rechtsmitteleingabe fehl. Sodann hat die Vorinstanz in der angefochtenen Verfügung ausführlich dargelegt, weshalb der Beschwerdeführer nicht als Flüchtling anerkannt werden kann. Was er in der Rechtsmitteleingabe dagegen vorbringt, ist nicht geeignet, seine Aussagen in einem anderen Licht erscheinen zu lassen. Namentlich vermag er mit dem ausführlichen Wiederholen des aktenkundigen Sachverhalts sowie den Ausführungen zur Situation in Sri Lanka nicht substantiiert darzutun, inwiefern ihn die Vorinstanz zu Unrecht nicht als Flüchtling anerkannt hat. Um Wiederholungen zu vermeiden, kann auf die zutreffenden Erwägungen in der angefochtenen Verfügung verwiesen werden. Die Vorinstanz hat das Asylgesuch zu Recht abgelehnt.</w:t>
      </w:r>
    </w:p>
    <w:p>
      <w:r>
        <w:rPr>
          <w:b/>
        </w:rPr>
        <w:t>E. 6</w:t>
      </w:r>
    </w:p>
    <w:p>
      <w:r>
        <w:t>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des Beschwerdeführers noch aus den Akten ergeben sich konkrete Anhaltspunkte dafür, dass er für den Fall einer Ausschaffung nach Sri Lanka dort mit beachtlicher Wahrscheinlichkeit einer nach Art. 3 EMRK oder Art. 1 FoK verbotenen Strafe oder Behandlung ausgesetzt wäre. Der Vollzug der Wegweisung ist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Der Beschwerdeführer stammt ursprünglich aus B._______ (Bezirk Jaffna). Von 1991 bis 2002 lebte er mit seiner Familie in C._______, Vanni-Gebiet, wo er auch die Schule besuchte. Ab 2002 bis zur Ausreise im Jahr 2008, mithin rund sechs Jahre, hielt er sich in B._______ auf. Der Vollzug der Wegweisung in die Nordprovinz ist daher grundsätzlich zumutbar. Sodann sind den Akten keine Anhaltspunkte zu entnehmen, wonach dem Beschwerdeführer aus individuellen Gründen eine Rückkehr in den Heimatstaat nicht zumutbar sein soll. Zwar macht der Beschwerdeführer gelten, seine Kernfamilie würde nach wie vor im Vanni-Gebiet leben. Indes lebte der Beschwerdeführer nur bis ins Alter von zwölf Jahren bei seiner Kernfamilie. Ab 2002 bis zur Ausreise lebte er bei seinem Onkel (Bruder der Mutter), dessen Ehefrau und den beiden Kindern. Im gleichen Haushalt lebte auch die Grossmutter des Beschwerdeführers. Aufgrund der Akten ist davon auszugehen, dass diese Verwandten heute noch am angeführten Ort wohnhaft sind, womit der Beschwerdeführer auf der Halbinsel Jaffna über ein familiäres Beziehungsnetz verfügt. Bei einer Rückkehr werden diese Verwandten den Beschwerdeführer zumindest vorübergehend bei sich in ihrem Haus aufnehmen können. Dagegen wendet der Beschwerdeführer ein, sein Onkel sei in finanziellen Schwierigkeiten, weshalb er ihn nicht nochmals bei sich aufnehmen könne. Dem ist entgegenzuhalten, dass dies eine blosse, durch nichts belegte Behauptung des Beschwerdeführers ist. Sodann ist es dem Beschwerdeführer nach seiner Rückkehr möglich und zumutbar, eine eigene wirtschaftliche Existenz aufzubauen. Er verfügt über eine elfjährige und damit gute Schulbildung und hat hier in der Schweiz mehrjährige Arbeitserfahrungen als Küchenhilfe im Gastgewerbe erwerben können. In diesem Zusammenhang sollte es ihm auch möglich und zumutbar sein, auf die allenfalls notwendige Unterstützung weiterer Verwandten und deren sozialen Umfeld zurückzugreifen. Dabei ist nicht die persönliche Beziehungsnähe des Beschwerdeführers zu diesen Personen massgebend, sondern einzig die Frage, ob eine Kontaktaufnahme zu diesen Verwandten möglich und zuzumuten ist. Dass dem nicht so ist, macht der Beschwerdeführer nicht geltend. Schliesslich vermag der erwachsene Beschwerdeführer aus dem Umstand, dass seine Eltern im Vanni-Gebiet leben im Hinblick auf die Zumutbarkeit des Vollzugs der Wegweisung nichts für sich abzuleiten. Es ist somit nicht davon auszugehen, dass der Beschwerdeführer bei einer Rückkehr in seinen Heimatstaat in eine existenzielle Notlage geraten würde. Der Vollzug der Wegweisung erweist sich damit als zumutbar.</w:t>
      </w:r>
    </w:p>
    <w:p>
      <w:r>
        <w:rPr>
          <w:b/>
        </w:rPr>
        <w:t>E. 7.3</w:t>
      </w:r>
    </w:p>
    <w:p>
      <w:r>
        <w:t>Der Beschwerdeführer verfügt über eine sri-lankische Identitätskarte, weshalb der Vollzug der Wegweisung auch als möglich zu bezeichnen ist (Art. 83 Abs. 2 AuG).</w:t>
      </w:r>
    </w:p>
    <w:p>
      <w:r>
        <w:rPr>
          <w:b/>
        </w:rPr>
        <w:t>E. 7.4</w:t>
      </w:r>
    </w:p>
    <w:p>
      <w:r>
        <w:t>Die Vorinstanz hat den Vollzug demnach zu Recht als zulässig, zumutbar und möglich erachtet. Damit fällt die Anordnung einer vorläufigen Aufnahme ausser Betracht (Art. 83 Abs. 1-4 AuG). Der entsprechende Eventualantrag ist abzuweisen.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Rechtspflege gemäss Art. 65 Abs. 1 VwVG. Aufgrund der Akten ergibt sich, dass der Beschwerdeführer seit dem 1. Juni 2010 als Küchenhilfe im F._______ in G._______ erwerbstätig ist. Damit ist er nicht bedürftig, weshalb es an einer der kumulativ zu erfüllenden Voraussetzungen zur Gewährung der unentgeltlichen Rechtspflege fehlt. Dem Gesuch ist daher nicht stattzugeben.</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Damit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