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E-6009/2020 vom 25. September 2024</w:t>
      </w:r>
    </w:p>
    <w:p>
      <w:r>
        <w:t>Bundesverwaltungsgericht, 2024-09-25, DE</w:t>
      </w:r>
    </w:p>
    <w:p>
      <w:r>
        <w:rPr>
          <w:b/>
        </w:rPr>
        <w:t xml:space="preserve">Quelle: </w:t>
      </w:r>
      <w:r>
        <w:t>https://mcp.opencaselaw.ch/entscheid/bvger_E-6009_2020</w:t>
      </w:r>
    </w:p>
    <w:p>
      <w:r>
        <w:t>FR: TAF E-6009/2020 du 25 septembre 2024</w:t>
      </w:r>
    </w:p>
    <w:p>
      <w:r>
        <w:t>IT: TAF E-6009/2020 del 25 settembre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E-6009/2020 Seite 7</w:t>
      </w:r>
    </w:p>
    <w:p>
      <w:r>
        <w:rPr>
          <w:b/>
        </w:rPr>
        <w:t>E. 5</w:t>
      </w:r>
    </w:p>
    <w:p>
      <w:r>
        <w:t>Zur Begründung der angefochtenen Verfügung führt die Vorinstanz aus, der Beschwerdeführer habe sich im Zusammenhang mit dem Zeitpunkt sei- ner Ausreise sowie dem zeitlichen Ablauf bis zur Gesuchstellung in der Schweiz in zahlreiche Widersprüche verstrickt. Gleiches gelte für die zeit- lichen Abfolgen im Zusammenhang mit den Verhaftungen, der Ausbildung und den Auslandaufenthalten, wobei auch Zweifel bestehen würden, ob er sich zuletzt tatsächlich in D._______ aufgehalten beziehungsweise im Iran gelebt habe. Dies namentlich vor dem Hintergrund, dass die Aufenthalts- bewilligung des Beschwerdeführers für F._______ erst im (…) und damit (…) Wochen vor Gesuchstellung in der Schweiz erloschen sei. Zu den zahlreich festzustellenden Widersprüchen sei zum Beispiel der Umstand zu zählen, dass er einmal erklärt habe, nach der zweiten Verhaftung sich noch eine Woche im Heimatland aufgehalten zu haben, ein anderes Mal jedoch angegeben habe, er habe das Land einen Tag nach der Freilassung verlassen. Weiter habe er erklärt, sämtliche persönlichen Dokumente seien von den heimatlichen Behörden eingezogen worden, obwohl später in der Schweiz sein Führerschein beschlagnahmt worden sei und er selber Ko- pien aus seinem Pass nachgereicht habe. Ferner habe er zu seinem gel- tend gemachten politischen Engagement nur sehr allgemeine und biswei- len widersprüchliche Aussagen gemacht, unter anderem im Zusammen- hang mit der Übersetzungstätigkeit. Namentlich habe er nicht plausibel dar- legen können, weshalb er trotz angeblicher Furcht vor weiteren Verhaftun- gen, sein Engagement nach der ersten Verhaftung weitergeführt habe.</w:t>
      </w:r>
    </w:p>
    <w:p>
      <w:r>
        <w:rPr>
          <w:b/>
        </w:rPr>
        <w:t>E. 6</w:t>
      </w:r>
    </w:p>
    <w:p>
      <w:r>
        <w:t>In der Rechtsmitteleingabe macht der Beschwerdeführer vorab geltend, nach Zuweisung ins erweiterte Verfahren sei die angefochtene Verfügung der Gemeinde G._______ zugestellt worden und er habe nur dank Eigen- initiative von der Eröffnung des Entscheids erfahren. Sodann sei offensicht- lich auch die für das erweiterte Verfahren zuständige Rechtsberatung vom Bundesasylzentrum (BAZ) beziehungsweise von der vormaligen Rechts- vertretung nicht richtig informiert worden. Weiter führt er aus, die Begründung der angefochtenen Verfügung wirke ausufernd und angesichts der vielen Befragungen stellten sich auch Fra- gen der Fairness. Ferner werde er in der Entscheidbegründung an diver- sen Stellen falsch zitiert und die Redaktion des Entscheids lasse an gewis- sen Stellen die gebotene Sorgfalt vermissen. Zu den Inkonsistenzen in den Fluchtvorbringen, welche die Vorinstanz ihm vorhalte, sei insbesondere auf den langen Zeitraum zwischen den fluchtauslösenden Geschehnissen und</w:t>
      </w:r>
    </w:p>
    <w:p>
      <w:r>
        <w:t>E-6009/2020 Seite 8 den Befragungen zu verweisen. Bezüglich der von der Vorinstanz festge- stellten zeitlichen Ungereimtheiten sei zu beachten, dass er es nicht ge- wohnt sei, Angaben gemäss gregorianischem Kalender zu machen. Insge- samt habe er die Abfolge der fluchtauslösenden Geschehnisse schlüssig dargelegt. Ferner sei für ihn nicht nachvollziehbar, weshalb die (…) Behör- den erklärt hätten, seine Aufenthaltsbewilligung sei bis (…) gültig gewesen und es könne nicht ausgeschlossen werden, dass es sich um eine Falsch- auskunft handle. Im Rahmen einer Gesamtwürdigung würden die Ele- mente, welche für die Glaubhaftigkeit seiner Vorbringen sprechen würden, überwiegen, nicht zuletzt vor dem Hintergrund, dass er die Fluchtvorbrin- gen lebensnah und äusserst detailliert vorgetragen habe.</w:t>
      </w:r>
    </w:p>
    <w:p>
      <w:r>
        <w:rPr>
          <w:b/>
        </w:rPr>
        <w:t>E. 7</w:t>
      </w:r>
    </w:p>
    <w:p>
      <w:r>
        <w:t>In der Vernehmlassung führt die Vorinstanz aus, nach ihren Informationen sei der Beschwerdeführer nach der Zuweisung ins erweiterte Verfahren nicht bei der kantonalen Rechtsberatung vorstellig geworden, weshalb die vorgenommene Zustellung rechtmässig gewesen sei. Des Weiteren seien die Ergebnisse der Botschaftsabklärung nicht in die Entscheidfindung ein- geflossen, weshalb sie in der Verfügung auch keine Erwähnung gefunden hätten. Zu den Fluchtvorbringen sei ergänzend festzuhalten, dass diese nach Auffassung der Vorinstanz selbst bei Wahrunterstellung keine flücht- lingsrechtliche Relevanz zu entfalten vermöchten.</w:t>
      </w:r>
    </w:p>
    <w:p>
      <w:r>
        <w:rPr>
          <w:b/>
        </w:rPr>
        <w:t>E. 8</w:t>
      </w:r>
    </w:p>
    <w:p>
      <w:r>
        <w:t>In der ergänzenden Stellungnahme vom 11. Februar 2021 macht der Be- schwerdeführer geltend, die Einverständniserklärung, welche er im Rah- men der Zuteilung an den zuständigen Kanton ausgefüllt habe suggeriere nicht – anders als es die Vorinstanz darstelle – dass er sich zur Übertra- gung des Mandats aktiv an die kantonale Rechtsberatungsstelle hätte wen- den müssen. Ferner müssten, um die Frage der Aufenthaltsberechtigung in F._______ verlässlich beantworten zu können, die entsprechenden be- hördlichen Dokumente konsultiert werden. Die Existenz einer Aufenthalts- bewilligung bedeute nicht zwingend, dass sich eine Person auch tatsäch- lich am besagten Ort aufgehalten habe. Sollte der Vermutung des SEM gefolgt werden, wonach er sich bis Anfang 20(…) in F._______ aufgehalten habe, müssten weitere Abklärungen getroffen werden. Im Zusammenhang mit der Botschaftsabklärung dränge sich ferner die Frage auf, wie es dem Vertrauensanwalt habe gelingen können, Zugang zu den persönlichen In- formationen im Zivilstandsregister zu erhalten beziehungsweise mit wel- cher Befugnis und Begründung er dies getan habe. Es liege die Befürch- tung nahe, der Vertrauensanwalt habe die iranischen Behörden über das</w:t>
      </w:r>
    </w:p>
    <w:p>
      <w:r>
        <w:t>E-6009/2020 Seite 9 Asylgesuch in der Schweiz informiert, was wiederum vermuten lasse, dass sich sein politisches Profil nochmals geschärft habe.</w:t>
      </w:r>
    </w:p>
    <w:p>
      <w:r>
        <w:rPr>
          <w:b/>
        </w:rPr>
        <w:t>E. 9.1</w:t>
      </w:r>
    </w:p>
    <w:p>
      <w:r>
        <w:t>Einleitend ist festzuhalten, dass sich die Probleme mit der Zustellung des vorinstanzlichen Entscheides sowie im Zusammenhang mit der Kom- munikation zwischen dem BAZ und den kantonalen Stellen schlussendlich nicht dergestalt ausgewirkt haben, dass die Rechte des Beschwerdefüh- rers in einer Weise beschnitten worden wären, welche ihm das Erheben einer wirksamen Beschwerde massgeblich erschwert hätte. Ferner kann auch im Umstand, dass die Vorinstanz nach dem Kassationsurteil des Bun- desverwaltungsgerichts mehrere Befragungen durchführte, keine offen- sichtliche Verletzung des Fairnessgebotes erblickt werden und solches wird in der Rechtsmitteleingabe auch nicht substantiiert dargelegt. Diese vom Beschwerdeführer geltend gemachten Mängel in der Verfahrensfüh- rung durch die Vorinstanz sind im Ergebnis nicht solcher Art, dass sich vor dem Hintergrund von Art. 29 ff. BV deshalb eine Kassation der Angelegen- heit aufdrängen würde. Der entsprechende Rückweisungsantrag ist abzu- weisen.</w:t>
      </w:r>
    </w:p>
    <w:p>
      <w:r>
        <w:rPr>
          <w:b/>
        </w:rPr>
        <w:t>E. 9.2</w:t>
      </w:r>
    </w:p>
    <w:p>
      <w:r>
        <w:t>Der Beschwerdeführer macht im Wesentlichen geltend, er habe im Zeitraum von (…) bis (…) an regierungskritischen Kundgebungen sowie Demonstrationen teilgenommen und sei verhaftet worden. Im Zusammen- hang mit dieser ersten Verhaftung ist festzustellen, dass die Darstellungen des Beschwerdeführers nicht den Eindruck vermitteln, er sei bei diesem Vorfalle in irgendeiner Weise aus der Masse politisch engagierter Bür- ger/Studenten besonders herausgestochen. Insbesondere entsteht auch durch die nachfolgenden Schilderungen zur Befragung auf dem Polizeipos- ten nicht der Eindruck, die Behörden könnten ihn für einen der Organisa- toren gehalten haben. Dass sich dies durch die Tätigkeit in den folgenden Tagen, während welcher er insbesondere politische Texte zu übersetzen half, geändert haben könnte, scheint bereits deshalb unwahrscheinlich, da aus seinen Schilderungen nicht hervorgeht, dass er als Autor dieser Texte hätte wahrgenommen werden können. Insofern erhellt nicht ohne Weite- res, weshalb sich nur wenige Tage nach der ersten Verhaftung auch der Geheimdienst für ihn interessiert haben soll. In Zusammenhang mit den durch den Geheimdienst vorgenommenen Befragungen ist festzuhalten, dass die Ausführungen des Beschwerdeführers eher oberflächlich und spärlich ausfallen. Er bringt zwar vor, aufgrund seiner Auslandaufenthalte sei er verdächtigt worden, mit Hilfe ausländischer Oppositioneller die De- monstrationen organisiert zu haben beziehungsweise seien ihm Fragen</w:t>
      </w:r>
    </w:p>
    <w:p>
      <w:r>
        <w:t>E-6009/2020 Seite 10 darüber gestellt worden, mit welchen ausländischen Personen er in Kon- takt stehen würde respektive von welchen er «geführt» und angehalten worden sei, «an den Aktivitäten teilzunehmen» (vgl. SEM-Akten A65/18, F65). Wesentlich mehr ist über die gemäss den Angaben des Beschwer- deführers mehrstündigen Befragungen, welche sich über drei Tage er- streckt haben sollen (a.a.O. A65/18 F75, F82 ff.), nicht zu erfahren. Es ist nicht ohne Weiteres nachvollziehbar, dass ihn die Behörden wegen seiner früheren Auslandaufenthalte und einer einzigen Verhaftung wegen der Teil- nahme an einer Demonstration umgehend als politischen Drahtzieher be- trachtet haben sollen. Insbesondere angesichts des Umstandes, dass er weder im erstinstanzlichen Verfahren noch auf Beschwerdeebene substan- tiierte Angaben zum Inhalt der Verhöre durch den Geheimdienst macht, bleibt das Vorbringen, er sei wegen möglichen Auslandsbeziehungen in den Fokus der Behörden geraten, diffus und im Ergebnis nicht überzeu- gend. Weiter ist festzustellten, dass den Akten nicht entnommen werden kann, der Beschwerdeführer wäre inzwischen von einem Gericht für die ihm angeblich vorgeworfenen Taten verurteilt worden, auch nicht im Rah- men eines Abwesenheitsverfahrens. Dass er über Gerichtstermine und Verhandlungen keine Auskunft geben könne, weil er und seine Angehöri- gen – welchen eine Vorladung zugestellt worden sein soll (vgl. SEM-Akten A65/18, F100) – Angst hätten, am Telefon darüber zu sprechen, überzeugt nicht vollumfänglich. Jedenfalls aber ist davon auszugehen, dass es dem Beschwerdeführer in der Zwischenzeit hätte möglich sein müssen, diesbe- züglich konkrete Informationen oder Beweismittel ins Verfahren einzubrin- gen. In Übereinstimmung mit der Vorinstanz ist sodann festzustellen, dass sich der Beschwerdeführer im Zusammenhang mit dem Zeitpunkt der Aus- reise insofern offensichtlich widerspricht, als er anlässlich der Anhörung angab, zirka eine Woche nach seiner Freilassung geflüchtet, im Rahmen der ergänzenden Anhörung jedoch erklärte, gleich am nächsten Tag nach seiner Freilassung ausgereist zu sein (vgl. SEM-Akten A65/18 F89 sowie A72/25 F110, F159). Anlässlich der ergänzenden Befragung hält der Be- schwerdeführer daran fest, er sei einen Tag nach der Freilassung ausge- reist (vgl. A72/25 F159 sowie F165), nur um diese Aussage auf Beschwer- deeben wieder rückgängig zu machen (vgl. Beschwerdeschrift S. 14). Da- bei mutet das Aussageverhalten des Beschwerdeführers einerseits auffäl- lig inkohärent an und andererseits drängen sich bei der Annahme, er sei einen Tag nach seiner Freilassung ausgereist, zahlreiche Folgefragen im Zusammenhang mit der Organisation der Ausreise auf; namentlich wie es möglich gewesen sein soll, innert dieser kurzen Zeit einen Schlepper sowie einen gefälschten Pass zu organisieren. Ergänzend sei darauf hingewie- sen, dass die Vorbringen, es sei die Meinung gewesen, dass er «einfach</w:t>
      </w:r>
    </w:p>
    <w:p>
      <w:r>
        <w:t>E-6009/2020 Seite 11 eine Weile» weggehe (vgl. SEM-Akten A65/18, F95) beziehungsweise dass er weggehe «bis die Demos zu Ende sind und die Situation sich eini- germassen beruhigte» (vgl. SEM-Akten A57/15 F86) nicht darauf hindeu- ten, er und seine Familie seien im Zeitpunkt seiner Ausreise ernsthaft von einem dauerhaften Verfolgungsinteresse der heimatlichen Behörden aus- gegangen. In Bezug auf die dargelegten Inkonsistenzen vermag der Be- schwerdeführer sodann aus dem Hinweis auf die verstrichene Zeit zwi- schen Ausreise und Anhörung nach erfolgter Kassation, auf die Art der Be- fragung durch den Sachbearbeiter und auf die seiner Meinung nach teil- weise unkorrekte Wiedergabe seiner Aussagen nichts zu seinen Gunsten abzuleiten, zumal diese Umstände die mangelnde Plausibilität seiner Vor- bringen nicht zu erklären vermögen. Die diesbezüglichen (teilweise nur im- plizit erhobenen) formellen Rügen erweisen sich als unbegründet. Angesichts des Ausgeführten kann der Beschwerdeführer nicht genügend überzeugend darlegen, er sei im Falle der Rückkehr in seinen Heimatstaat einer ernsthaften Gefahr vor flüchtlingsrechtlich relevanter Verfolgung aus- gesetzt. Da er aufgrund seiner inkonsistenten Fluchtvorbringen im Ergeb- nis auch kein relevantes politisches Profil darlegen kann, ist zudem nicht ernsthaft zu befürchten, die Informationsbeschaffung im Rahmen der Bot- schaftsabklärungen seien geeignet – wie der Beschwerdeführer annimmt – sein Profil in massgeblicher Art zu akzentuieren. Bei dieser Ausgangslage ist nicht mehr vertieft auf die Frage einzugehen, ob sich der Beschwerdeführer im Zeitpunkt der geltend gemachten Aus- reise tatsächlich im Heimatland aufhielt. Auf die diesbezüglichen Ausfüh- rungen der Vorinstanz und des Beschwerdeführers sowie auf die dazu ein- gereichten Beweismittel – insbesondere zu Auslandaufenthalten, ausländi- scher Immatrikulation sowie zur Gültigkeitsdauer allfälliger Aufenthaltstitel – ist deshalb nicht weiter einzugehen und die in diesem Zusammenhang gestellten prozessualen Anträge sind abzuweisen. Gleiches gilt für die Aus- führungen im Zusammenhang mit der Beschlagnahme der Ausweispapiere sowie der Frage der Authentizität des Führerausweises. Nicht einzugehen ist sodann auf zusätzliche von der Vorinstanz festgestellte Widersprüche, insbesondere in Bezug auf weitere zeitliche Angaben des Beschwerdefüh- rers sowie auf von ihm geltend gemachte Schwierigkeiten mit dem grego- rianischen Kalender und angebliche Missverständnisse.</w:t>
      </w:r>
    </w:p>
    <w:p>
      <w:r>
        <w:rPr>
          <w:b/>
        </w:rPr>
        <w:t>E. 9.3</w:t>
      </w:r>
    </w:p>
    <w:p>
      <w:r>
        <w:t>Zusammenfassend ergibt sich, dass die Vorinstanz die Flüchtlingsei- genschaft des Beschwerdeführers zu Recht verneint und sein Asylgesuch abgelehnt hat.</w:t>
      </w:r>
    </w:p>
    <w:p>
      <w:r>
        <w:t>E-6009/2020 Seite 12</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10.2.1 Der Vollzug ist nicht zulässig, wenn völkerrechtliche Verpflichtun- 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t>E-6009/2020 Seite 13 10.2.2 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 schwerdeführers noch aus den Akten Anhaltspunkte dafür, dass er für den Fall einer Rückführung in den Heimatstaat dort mit beachtlicher Wahr- scheinlichkeit einer nach Art. 3 EMRK oder Art. 1 FoK verbotenen Strafe oder Behandlung ausgesetzt wäre. Gemäss Praxis des Europäischen Ge- 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 ation im Heimatstaat lässt den Wegweisungsvollzug zum heutigen Zeit- punkt nicht als unzulässig erscheinen.</w:t>
      </w:r>
    </w:p>
    <w:p>
      <w:r>
        <w:rPr>
          <w:b/>
        </w:rPr>
        <w:t>E. 11.3</w:t>
      </w:r>
    </w:p>
    <w:p>
      <w:r>
        <w:t>Im Iran herrscht zum heutigen Zeitpunkt weder Krieg, Bürgerkrieg noch eine Situation allgemeiner Gewalt. Selbst unter Berücksichtigung dessen, dass die Staatsordnung als totalitär zu bezeichnen ist und die all- gemeine Situation in verschiedener Hinsicht problematisch sein kann, ist der Vollzug der Wegweisung in den Iran gemäss konstanter Praxis grund- sätzlich als zumutbar zu erachten (vgl. statt vieler Urteile des BVGer E-6316/2019 vom 5. Juni 2024 E. 7.3.2, E-6567/ 2019 vom 4. Juni 2024 E. 9.3.2). Beim Beschwerdeführer handelt es sich sodann um einen (…)-jährigen, gesunden Mann mit universitärer Ausbildung sowie einem tragfähigen so- zialen Netz im Heimatland. Auf Beschwerdeebene werden keine Ausfüh- rungen zur individuellen Zumutbarkeit des Wegweisungsvollzuges ge- macht und es kann diesbezüglich – um Wiederholungen zu vermeiden – auf die zutreffenden Erwägungen in der angefochtenen Verfügung verwie- sen werden. Der Wegweisungsvollzug erweist sich auch in individueller Hinsicht als zumutbar.</w:t>
      </w:r>
    </w:p>
    <w:p>
      <w:r>
        <w:rPr>
          <w:b/>
        </w:rPr>
        <w:t>E. 11.4</w:t>
      </w:r>
    </w:p>
    <w:p>
      <w:r>
        <w:t>Schliesslich obliegt es dem Beschwerdeführer, sich bei der zuständi- gen Vertretung des Heimatstaates die für eine Rückkehr notwendigen Rei- sedokumente zu beschaffen (vgl. Art. 8 Abs. 4 AsylG und dazu auch BVGE</w:t>
      </w:r>
    </w:p>
    <w:p>
      <w:r>
        <w:t>E-6009/2020 Seite 14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ihm mit Zwi- schenverfügung vom 7. Dezember 2020 die unentgeltliche Rechtspflege gewährt wurde und den Akten keine Hinweise für Veränderungen seiner finanziellen Verhältnisse zu entnehmen sind, sind keine Verfahrenskosten zu erheben (Art. 1–3 des Reglements vom 21. Februar 2008 über die Kos- ten und Entschädigungen vor dem Bundesverwaltungsgericht [VGKE, SR 173.320.2]).</w:t>
      </w:r>
    </w:p>
    <w:p>
      <w:r>
        <w:rPr>
          <w:b/>
        </w:rPr>
        <w:t>E. 13.2</w:t>
      </w:r>
    </w:p>
    <w:p>
      <w:r>
        <w:t>Die amtliche Rechtsbeiständin reichte mit Schreiben vom 11. Februar 2021 eine Kostennote ein. Der darin geltend gemachte zeitlichen Aufwand für Besprechung mit dem Klienten, Aktenstudium sowie Verfassen der Be- schwerdeschrift von insgesamt 13 Stunden erweist sich als überhöht und ist auf elf Stunden zu reduzieren, womit insgesamt 17.75 Stunden zu ent- schädigen sind. Die übrigen in Rechnung gestellten Aufwände erscheinen dagegen als angemessen. Das amtliche Honorar ist aufgrund des Ausge- führten auf insgesamt Fr. 4'267.15 (inkl. Mehrwertsteuer und Auslagen) festzusetzen. Dieser Betrag ist der amtlichen Rechtsbeiständin vom Bun- desverwaltungsgericht auszurichten.</w:t>
      </w:r>
    </w:p>
    <w:p>
      <w:r>
        <w:t>(Dispositiv nächste Seite)</w:t>
      </w:r>
    </w:p>
    <w:p>
      <w:r>
        <w:t>E-6009/2020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