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E-6009/2018 vom 12. November 2018</w:t>
      </w:r>
    </w:p>
    <w:p>
      <w:r>
        <w:t>Bundesverwaltungsgericht, 2018-11-12, FR</w:t>
      </w:r>
    </w:p>
    <w:p>
      <w:r>
        <w:rPr>
          <w:b/>
        </w:rPr>
        <w:t xml:space="preserve">Quelle: </w:t>
      </w:r>
      <w:r>
        <w:t>https://mcp.opencaselaw.ch/entscheid/bvger_E-6009_2018</w:t>
      </w:r>
    </w:p>
    <w:p>
      <w:r>
        <w:t>FR: TAF E-6009/2018 du 12 novembre 2018</w:t>
      </w:r>
    </w:p>
    <w:p>
      <w:r>
        <w:t>IT: TAF E-6009/2018 del 12 novembre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112b al. 3 LAsi et art. 38 de l'ordonnance sur la réalisation de phases de test relatives aux mesures d'accélération dans le domaine de l'asile [OTest, RS 142.318.1])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 ).</w:t>
      </w:r>
    </w:p>
    <w:p>
      <w:r>
        <w:rPr>
          <w:b/>
        </w:rPr>
        <w:t>E. 2.1</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2.2</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Tribunal fédéral 2A.496/2006 et 2A.497/2006 du 15 octobre 2007 consid. 5.1.1; ATF 112 Ia 107 consid. 2b p. 107). Le droit d'être entendu représente une garantie constitutionnelle de carac-tère formel, dont la violation entraîne en principe l'annulation de la décision attaquée, indépendamment des chances de succès du recours sur le fond (cf. ATAF 2014/38 consid. 8).</w:t>
      </w:r>
    </w:p>
    <w:p>
      <w:r>
        <w:rPr>
          <w:b/>
        </w:rPr>
        <w:t>E. 3.1</w:t>
      </w:r>
    </w:p>
    <w:p>
      <w:r>
        <w:t>En l'espèce, dans la décision attaquée, le SEM a considéré que les coups reçus (qualifiés de « mesure d'intimidation ») et les menaces passées à l'encontre du recourant n'étaient pas constitutifs de sérieux préjudices au sens de l'art. 3 LAsi, faute de gravité. Pour nier l'intensité suffisante des menaces, il a estimé, en substance, qu'une volonté réelle du Sepah de les mettre à exécution n'était pas vraisemblable, en l'absence de la prise de « mesures drastiques » à cette fin. Toutefois, cette motivation est non seulement source de confusion avec l'absence de pertinence qu'elle est censée démontrer, mais surtout insuffisante, en l'absence d'une pondération des signes d'invraisemblance (cf. ATAF 2012/5 consid. 2.2). Cela n'a pas échappé au SEM puisqu'il a indiqué, en conclusion, qu'il s'abstenait d'examiner la vraisemblance des déclarations. Il n'en demeure pas moins qu'il a mentionné, comme étant décisifs, des arguments tirés d'un examen de la vraisemblance des déclarations tout en indiquant par la suite qu'il pouvait se dispenser de cet examen. Sa décision présente donc une contradiction interne, qui ne peut être éliminée, ou tout au moins une ambiguïté irrémédiable. L'ambiguïté, voire la contradiction dans la motivation incomplète, conduit à une violation du droit du recourant à une décision compréhensible qu'il puisse attaquer utilement. Elle rend impossible au Tribunal l'exercice de son contrôle.</w:t>
      </w:r>
    </w:p>
    <w:p>
      <w:r>
        <w:rPr>
          <w:b/>
        </w:rPr>
        <w:t>E. 3.2</w:t>
      </w:r>
    </w:p>
    <w:p>
      <w:r>
        <w:t>En outre, la motivation de la décision quant à l'absence de crainte objectivement fondée d'une persécution à venir est lacunaire. En effet, le SEM a examiné les seules craintes du recourant liées à son appartenance à une minorité ethnique et religieuse, à son départ illégal et à l'absence d'accomplissement du service militaire. S'agissant de sa crainte en lien avec la désobéissance aux ordres du Sepah, le SEM s'est borné à répéter que les problèmes précédemment rencontrés manquaient d'intensité (pour être qualifiés de sérieux préjudices). Toutefois, conclure à l'absence d'une persécution passée ne dispensait pas le SEM d'un examen de la crainte du recourant d'avoir à subir, en cas de retour au pays, de sérieux préjudices en lien avec les motifs de fuite allégués ayant trait à la désobéissance aux ordres du Sepah. Or, le SEM n'a examiné (en bonne et due forme, soit sur la base d'une appréciation complète et définitive) ni la vraisemblance au sens de l'art. 7 LAsi des faits à l'origine de la crainte du recourant d'avoir à subir une persécution en cas de retour ni la pertinence au sens de l'art. 3 LAsi de la persécution crainte en cas de retour. En conclusion, on ne parvient pas à discerner les motifs pour lesquels le SEM a écarté la crainte principale du recourant en cas de retour. Pour cette raison également, le droit à une décision motivée est violé.</w:t>
      </w:r>
    </w:p>
    <w:p>
      <w:r>
        <w:rPr>
          <w:b/>
        </w:rPr>
        <w:t>E. 3.3</w:t>
      </w:r>
    </w:p>
    <w:p>
      <w:r>
        <w:t>La violation par le SEM de l'obligation de motiver sa décision, composante du droit d'être entendu du recourant, conduit à l'annulation de la décision attaquée et au renvoi de la cause au SEM pour qu'il rende une nouvelle décision, après avoir, s'il l'estime nécessaire, procédé à une instruction complémentaire.</w:t>
      </w:r>
    </w:p>
    <w:p>
      <w:r>
        <w:rPr>
          <w:b/>
        </w:rPr>
        <w:t>E. 4</w:t>
      </w:r>
    </w:p>
    <w:p>
      <w:r>
        <w:t>S'avérant manifestement fondé, le recours est admis dans une procédure à juge unique, avec l'approbation d'un second juge (cf. art. 111 let. e LAsi). Il est dès lors renoncé à un échange d'écritures, le présent arrêt n'étant motivé que sommairement (cf. art. 111a al. 1 et 2 LAsi).</w:t>
      </w:r>
    </w:p>
    <w:p>
      <w:r>
        <w:rPr>
          <w:b/>
        </w:rPr>
        <w:t>E. 5</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Ayant agi en son propre nom, le recourant n'a pas fait valoir de frais de représentation. Il n'a pas non plus fait valoir d'autres frais indispensables et relativement élevés. Il n'y a donc pas lieu de lui allouer des dépens (cf. art. 64 al. 1 PA et art. 7 ss du règlement du 21 février 2008 concernant les frais, dépens et indemnités fixés par le Tribunal administratif fédéral [FITAF, RS 173.320.2]). Au vu de ce qui précède, la demande d'assistance judiciaire totale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