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E-6003/2011 vom 4. November 2011</w:t>
      </w:r>
    </w:p>
    <w:p>
      <w:r>
        <w:t>Bundesverwaltungsgericht, 2011-11-04, DE</w:t>
      </w:r>
    </w:p>
    <w:p>
      <w:r>
        <w:rPr>
          <w:b/>
        </w:rPr>
        <w:t xml:space="preserve">Quelle: </w:t>
      </w:r>
      <w:r>
        <w:t>https://mcp.opencaselaw.ch/entscheid/bvger_E-6003_2011</w:t>
      </w:r>
    </w:p>
    <w:p>
      <w:r>
        <w:t>FR: TAF E-6003/2011 du 4 novembre 2011</w:t>
      </w:r>
    </w:p>
    <w:p>
      <w:r>
        <w:t>IT: TAF E-6003/2011 del 4 novembre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Gemäss Art. 111 Bst. e AsylG entscheidet der Einzelrichter mit Zustimmung eines zweiten Richters über offensichtlich unbegründete Beschwerden. Den nachfolgenden Erwägungen ist zu entnehmen, dass hier eine solche Beschwerde vorliegt. Gestützt auf Art. 111a Abs. 1 AsylG wird auf die Durchführung des Schrif­tenwechsels verzichtet.</w:t>
      </w:r>
    </w:p>
    <w:p>
      <w:r>
        <w:rPr>
          <w:b/>
        </w:rPr>
        <w:t>E. 3.1</w:t>
      </w:r>
    </w:p>
    <w:p>
      <w:r>
        <w:t>Mit Beschwerde kann die Verletzung von Bundesrecht, die unrichtige oder unvollständige Feststellung des rechtserheblichen Sachverhalts und die Unangemessenheit gerügt werden (Art. 106 Abs. 1 AsylG).</w:t>
      </w:r>
    </w:p>
    <w:p>
      <w:r>
        <w:rPr>
          <w:b/>
        </w:rPr>
        <w:t>E. 3.2</w:t>
      </w:r>
    </w:p>
    <w:p>
      <w:r>
        <w:t>Amtssprachen des Bundes sind das Deutsche, Französische und Italie­nische (vgl. Art. 70 Abs. 1 der Bundesverfassung der Schweizeri­schen Eidgenossenschaft vom 18. April 1999 [BV, SR 101]). Aus prozessökonomischen Gründen ist vorliegend indes auf die Nachforderung einer Übersetzung der englischsprachigen Eingabe zu verzichten.</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 diesem Entscheid gelten restriktive Voraussetzungen für die Ertei­lung ei­ner Einreisebewilligung, wobei den Behörden ein weiter Er­mes­sensspiel­raum zukommt. Neben der erforderlichen Gefährdung im Sinne von Art. 3 AsylG sind namentlich die persönliche Beziehung zur Schweiz, die Möglichkeit der Schutzgewährung durch einen anderen Staat, die Art und Intensität allfälliger Bezie­hungen zu anderen Staaten, die praktische Mög­lichkeit und objek­tive Zumutbarkeit einer anderweitigen Schutzsuche so­wie die vor­aus­sichtlichen Eingliederungs- und Assimilationsmöglich­keiten in Betracht zu ziehen (vgl. Art. 52 [Abs. 2] AsylG).</w:t>
      </w:r>
    </w:p>
    <w:p>
      <w:r>
        <w:rPr>
          <w:b/>
        </w:rPr>
        <w:t>E. 5.1</w:t>
      </w:r>
    </w:p>
    <w:p>
      <w:r>
        <w:t>In Übereinstimmung mit der Vorinstanz ist zwar zunächst festzustellen, dass eine flüchtlingsrechtlich relevante Gefährdung des Beschwerdefüh­rers im Falle seiner Rückkehr nach Eritrea gegeben sein könnte. Er befindet sich jedoch seit drei Jahren im Sudan, was hinsichtlich der bei ei­nem im Ausland gestellten Asylgesuch weiter zu prüfenden Frage, ob ihm die Aufnahme in einem Drittstaat zugemutet werden kann, zu berück­sichtigen ist (Art. 52 [Abs. 2] AsylG): Bei einem Asylgesuch aus einem Drittstaat ist nach Lehre und Praxis im Sinn einer (widerlegbaren) Regelvermutung davon auszugehen, die betreffende Person habe dort bereits anderweitig Schutz gefunden, was zur Ablehnung des Asylgesuchs und zur Verweigerung der Einreisebewilligung führt (vgl. Entscheidungen und Mitteilungen der Schweizerischen Asylrekurskommission [EMARK] 2004 Nr. 21 E. 4 mit weiteren Hinweisen).</w:t>
      </w:r>
    </w:p>
    <w:p>
      <w:r>
        <w:rPr>
          <w:b/>
        </w:rPr>
        <w:t>E. 5.2</w:t>
      </w:r>
    </w:p>
    <w:p>
      <w:r>
        <w:t>Die Vorinstanz weist in der angefochtenen Verfügung darauf hin, der Beschwerdeführer habe sich beim UNHCR gemeldet und dieser habe ihm Schutz gewährt.</w:t>
      </w:r>
    </w:p>
    <w:p>
      <w:r>
        <w:rPr>
          <w:b/>
        </w:rPr>
        <w:t>E. 5.3</w:t>
      </w:r>
    </w:p>
    <w:p>
      <w:r>
        <w:t>Der Beschwer­deführer bringt vor, ein Verbleib im Sudan sei für ihn nicht zumutbar; ausserdem befürchte er eine Deportation nach Eritrea, wo er verfolgt sei.</w:t>
      </w:r>
    </w:p>
    <w:p>
      <w:r>
        <w:rPr>
          <w:b/>
        </w:rPr>
        <w:t>E. 5.3.1</w:t>
      </w:r>
    </w:p>
    <w:p>
      <w:r>
        <w:t>Die Argumente des Beschwerdeführers sind jedoch nicht derart, dass es für ihn in Berücksichtigung der heutigen Situation im Sudan objek­tiv unzumutbar erscheint, den in diesem Land gegenüber der Verfol­gungsgefahr im Heimatstaat bestehenden Schutz weiterhin in Anspruch zu nehmen. So ist es ihm unbenommen, sich an die örtliche Vertretung des UNHCR zu wenden, um die von ihm erwähnten Über­griffe zu melden. Ausserdem hat er grundsätzlich die Möglichkeit, sich wie­der in einem Flüchtlingslager des UNHCR niederzulassen, falls er sich an seinem aktuellen Aufenthaltsort offenbar ausserhalb eines Lagers nicht hinreichend sicher fühlen sollte. Im Weiteren kann auf die zutreffen­den Ausführungen des BFM verwiesen werden. Dies gilt auch in Bezug auf die geltend gemachte Gefahr einer Deportation nach Eritrea. Zwar wird in letzter Zeit von der Deportation von rund 300 Eritreern in den Heimatstaat berichtet (vgl. etwa den UNHCR-Bericht "Dismay at new deportation of Eritreans by Sudan" vom 18.10.2011 [www.unhcr.org/print/ 4e9d47269.html besucht am 2.11.2011]). Angesichts der Zahl von gegen 170'000 eritreischen Flüchtlingen und Asylsuchenden im Sudan, ergibt sich allein daraus jedoch noch keine generelle Gefahr der Rückschiebung. Der Beschwerdeführer lebt sodann bereits seit drei Jahren im Sudan, davon offenbar die meiste Zeit in Khartum. Den Akten ist auch kein besonderes Profil des Beschwerdeführers zu entnehmen, das ihn der konkreten Gefahr einer Deportation aussetzen könnte. An diesen Feststellungen vermögen auch die eingereichten Berichte zur Situation eritreischer Flüchtlinge im Sudan nichts zu ändern.</w:t>
      </w:r>
    </w:p>
    <w:p>
      <w:r>
        <w:rPr>
          <w:b/>
        </w:rPr>
        <w:t>E. 5.3.2</w:t>
      </w:r>
    </w:p>
    <w:p>
      <w:r>
        <w:t>Der Beschwerdeführer weist in der Beschwerde - erstmals, soweit den Akten zu entnehmen ist - auf eine momentane (...) erkrankung hin ("at the moment I am suffering of (...) disease") und macht geltend, er könne sich die "3'000 Sudanese Gene" für die von den Ärzten empfohlene Operation nicht leisten (vgl. Beschwerde S. 3). Den eingereichten handschriftlichen medizinischen Notizen lässt sich eine klare Diagnose nicht entnehmen. Hingegen ist den verwendeten Formularen des "(...) Specialized Hospital" und der (...) Clinic (...)" zu entnehmen, dass der Beschwerdeführer offensichtlich Zugang zu medizinischer Infrastruktur und Betreuung hatte (wobei ihm offenbar auch Medikamente verabreicht worden sind, wie sich aus den beiden Rezeptkopien ergibt). Sollte eine zwingend notwendige Operation erforderlich sein, die sich der Beschwerdeführer selber nicht leisten könnte, würde es ihm frei stehen, sich auch diesbezüglich an den UNHCR - allenfalls auch an die zuständigen sudanesischen Behörden oder an Nichtregierungsorganisationen wie etwa die Sudan Commission for Refugees - zu wenden.</w:t>
      </w:r>
    </w:p>
    <w:p>
      <w:r>
        <w:rPr>
          <w:b/>
        </w:rPr>
        <w:t>E. 5.4</w:t>
      </w:r>
    </w:p>
    <w:p>
      <w:r>
        <w:t>Eine Schutzgewährung durch die Schweiz aufgrund einer entsprechen­den Schutzbedürftigkeit erscheint somit gestützt auf Art. 52 [Abs. 2] AsylG unter Berücksichtigung aller Umstände nicht als erforderlich.</w:t>
      </w:r>
    </w:p>
    <w:p>
      <w:r>
        <w:rPr>
          <w:b/>
        </w:rPr>
        <w:t>E. 5.5</w:t>
      </w:r>
    </w:p>
    <w:p>
      <w:r>
        <w:t>Die vom BFM vorgenommene Bewertung der Qualität seiner Beziehung zu einem in der Schweiz lebenden entfernten Verwandten - gemäss Angaben des Beschwerdeführers ein Cousin seines Vaters - ist ebenfalls nicht zu beanstanden. Dass er zur Kern­familie dieser Person gehört, wird auch vom Beschwerdeführer zu Recht nicht behauptet.</w:t>
      </w:r>
    </w:p>
    <w:p>
      <w:r>
        <w:rPr>
          <w:b/>
        </w:rPr>
        <w:t>E. 5.6</w:t>
      </w:r>
    </w:p>
    <w:p>
      <w:r>
        <w:t>Zusammenfassend ergibt sich, dass das BFM zutreffend festgestellt hat, der Beschwerdeführer sei nicht schutzbedürftig im Sinne des Asylgesetzes. Unter diesen Umständen hat das Bundesamt zu Recht die Ertei­lung der Einreisebewilligung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